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3026" w14:textId="1FA2C90D" w:rsidR="00F2084D" w:rsidRPr="00F128D6" w:rsidRDefault="00F2084D">
      <w:pPr>
        <w:rPr>
          <w:rFonts w:ascii="Verdana" w:hAnsi="Verdana"/>
          <w:sz w:val="20"/>
        </w:rPr>
      </w:pPr>
    </w:p>
    <w:tbl>
      <w:tblPr>
        <w:tblW w:w="98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723"/>
      </w:tblGrid>
      <w:tr w:rsidR="00F128D6" w:rsidRPr="002371DB" w14:paraId="2FA9E068" w14:textId="77777777" w:rsidTr="002371DB">
        <w:tc>
          <w:tcPr>
            <w:tcW w:w="2127" w:type="dxa"/>
          </w:tcPr>
          <w:p w14:paraId="46EEEADC" w14:textId="77777777" w:rsidR="00F2084D" w:rsidRPr="002371DB" w:rsidRDefault="00F2084D" w:rsidP="001F40FA">
            <w:pPr>
              <w:tabs>
                <w:tab w:val="right" w:leader="dot" w:pos="1913"/>
              </w:tabs>
              <w:jc w:val="both"/>
              <w:rPr>
                <w:rFonts w:ascii="Verdana" w:hAnsi="Verdana" w:cs="Tahoma"/>
                <w:sz w:val="18"/>
                <w:szCs w:val="18"/>
              </w:rPr>
            </w:pPr>
            <w:bookmarkStart w:id="0" w:name="_GoBack"/>
            <w:r w:rsidRPr="002371DB">
              <w:rPr>
                <w:rFonts w:ascii="Verdana" w:hAnsi="Verdana" w:cs="Tahoma"/>
                <w:sz w:val="18"/>
                <w:szCs w:val="18"/>
              </w:rPr>
              <w:br w:type="page"/>
              <w:t>Titre</w:t>
            </w:r>
            <w:r w:rsidRPr="002371DB">
              <w:rPr>
                <w:rFonts w:ascii="Verdana" w:hAnsi="Verdana" w:cs="Tahoma"/>
                <w:sz w:val="18"/>
                <w:szCs w:val="18"/>
              </w:rPr>
              <w:tab/>
            </w:r>
          </w:p>
        </w:tc>
        <w:tc>
          <w:tcPr>
            <w:tcW w:w="7723" w:type="dxa"/>
          </w:tcPr>
          <w:p w14:paraId="56B4D795" w14:textId="77777777" w:rsidR="00F2084D" w:rsidRPr="002371DB" w:rsidRDefault="00F2084D" w:rsidP="001F40FA">
            <w:pPr>
              <w:rPr>
                <w:rFonts w:ascii="Verdana" w:hAnsi="Verdana"/>
                <w:b/>
                <w:sz w:val="18"/>
                <w:szCs w:val="18"/>
              </w:rPr>
            </w:pPr>
            <w:r w:rsidRPr="002371DB">
              <w:rPr>
                <w:rFonts w:ascii="Verdana" w:hAnsi="Verdana"/>
                <w:b/>
                <w:sz w:val="18"/>
                <w:szCs w:val="18"/>
              </w:rPr>
              <w:t xml:space="preserve">LES PRIX DE TRANSFERT </w:t>
            </w:r>
            <w:r w:rsidR="00D16868" w:rsidRPr="002371DB">
              <w:rPr>
                <w:rFonts w:ascii="Verdana" w:hAnsi="Verdana"/>
                <w:b/>
                <w:sz w:val="18"/>
                <w:szCs w:val="18"/>
              </w:rPr>
              <w:t>– NIV2</w:t>
            </w:r>
          </w:p>
          <w:p w14:paraId="72BF4AEA" w14:textId="77777777" w:rsidR="00F2084D" w:rsidRPr="002371DB" w:rsidRDefault="00F2084D" w:rsidP="001F40FA">
            <w:pPr>
              <w:jc w:val="both"/>
              <w:rPr>
                <w:rFonts w:ascii="Verdana" w:hAnsi="Verdana" w:cs="Tahoma"/>
                <w:b/>
                <w:sz w:val="18"/>
                <w:szCs w:val="18"/>
              </w:rPr>
            </w:pPr>
          </w:p>
        </w:tc>
      </w:tr>
      <w:tr w:rsidR="00F128D6" w:rsidRPr="002371DB" w14:paraId="191EFAEC" w14:textId="77777777" w:rsidTr="002371DB">
        <w:tc>
          <w:tcPr>
            <w:tcW w:w="2127" w:type="dxa"/>
          </w:tcPr>
          <w:p w14:paraId="2312B0C0" w14:textId="77777777" w:rsidR="00F2084D" w:rsidRPr="002371DB" w:rsidRDefault="00F2084D" w:rsidP="001F40FA">
            <w:pPr>
              <w:tabs>
                <w:tab w:val="right" w:leader="dot" w:pos="1913"/>
              </w:tabs>
              <w:rPr>
                <w:rFonts w:ascii="Verdana" w:hAnsi="Verdana" w:cs="Tahoma"/>
                <w:sz w:val="18"/>
                <w:szCs w:val="18"/>
              </w:rPr>
            </w:pPr>
            <w:r w:rsidRPr="002371DB">
              <w:rPr>
                <w:rFonts w:ascii="Verdana" w:hAnsi="Verdana" w:cs="Tahoma"/>
                <w:sz w:val="18"/>
                <w:szCs w:val="18"/>
              </w:rPr>
              <w:t>Valeur ajoutée</w:t>
            </w:r>
            <w:r w:rsidRPr="002371DB">
              <w:rPr>
                <w:rFonts w:ascii="Verdana" w:hAnsi="Verdana" w:cs="Tahoma"/>
                <w:sz w:val="18"/>
                <w:szCs w:val="18"/>
              </w:rPr>
              <w:tab/>
            </w:r>
          </w:p>
          <w:p w14:paraId="1F138DB8" w14:textId="77777777" w:rsidR="00F2084D" w:rsidRPr="002371DB" w:rsidRDefault="00F2084D" w:rsidP="001F40FA">
            <w:pPr>
              <w:tabs>
                <w:tab w:val="right" w:leader="dot" w:pos="1913"/>
              </w:tabs>
              <w:rPr>
                <w:rFonts w:ascii="Verdana" w:hAnsi="Verdana" w:cs="Tahoma"/>
                <w:sz w:val="18"/>
                <w:szCs w:val="18"/>
              </w:rPr>
            </w:pPr>
          </w:p>
        </w:tc>
        <w:tc>
          <w:tcPr>
            <w:tcW w:w="7723" w:type="dxa"/>
          </w:tcPr>
          <w:p w14:paraId="4C3088C3" w14:textId="77777777" w:rsidR="006B532E" w:rsidRPr="002371DB" w:rsidRDefault="006B532E" w:rsidP="006B532E">
            <w:pPr>
              <w:jc w:val="both"/>
              <w:rPr>
                <w:rFonts w:ascii="Verdana" w:hAnsi="Verdana"/>
                <w:sz w:val="18"/>
                <w:szCs w:val="18"/>
              </w:rPr>
            </w:pPr>
            <w:r w:rsidRPr="002371DB">
              <w:rPr>
                <w:rFonts w:ascii="Verdana" w:hAnsi="Verdana"/>
                <w:sz w:val="18"/>
                <w:szCs w:val="18"/>
              </w:rPr>
              <w:t xml:space="preserve">Depuis 2010, l’obligation fiscale faite aux sociétés membres d’un groupe de justifier de la politique des prix de transfert est précise et entraîne des risques accrus (amende, remise en cause). </w:t>
            </w:r>
          </w:p>
          <w:p w14:paraId="7CFB6E2A" w14:textId="77777777" w:rsidR="006B532E" w:rsidRPr="002371DB" w:rsidRDefault="006B532E" w:rsidP="006B532E">
            <w:pPr>
              <w:jc w:val="both"/>
              <w:rPr>
                <w:rFonts w:ascii="Verdana" w:hAnsi="Verdana"/>
                <w:sz w:val="18"/>
                <w:szCs w:val="18"/>
              </w:rPr>
            </w:pPr>
            <w:r w:rsidRPr="002371DB">
              <w:rPr>
                <w:rFonts w:ascii="Verdana" w:hAnsi="Verdana"/>
                <w:sz w:val="18"/>
                <w:szCs w:val="18"/>
              </w:rPr>
              <w:t xml:space="preserve">La formation fait prendre conscience aux participants que : </w:t>
            </w:r>
          </w:p>
          <w:p w14:paraId="54BE2C7B" w14:textId="77777777" w:rsidR="006B532E" w:rsidRPr="002371DB" w:rsidRDefault="006B532E" w:rsidP="006B532E">
            <w:pPr>
              <w:numPr>
                <w:ilvl w:val="0"/>
                <w:numId w:val="11"/>
              </w:numPr>
              <w:jc w:val="both"/>
              <w:rPr>
                <w:rFonts w:ascii="Verdana" w:hAnsi="Verdana"/>
                <w:sz w:val="18"/>
                <w:szCs w:val="18"/>
              </w:rPr>
            </w:pPr>
            <w:r w:rsidRPr="002371DB">
              <w:rPr>
                <w:rFonts w:ascii="Verdana" w:hAnsi="Verdana"/>
                <w:sz w:val="18"/>
                <w:szCs w:val="18"/>
              </w:rPr>
              <w:t xml:space="preserve">le sujet concerne toute entité membre d’un groupe international, quelle que soit sa taille </w:t>
            </w:r>
          </w:p>
          <w:p w14:paraId="1EBD41D4" w14:textId="77777777" w:rsidR="006B532E" w:rsidRPr="002371DB" w:rsidRDefault="006B532E" w:rsidP="006B532E">
            <w:pPr>
              <w:numPr>
                <w:ilvl w:val="0"/>
                <w:numId w:val="11"/>
              </w:numPr>
              <w:jc w:val="both"/>
              <w:rPr>
                <w:rFonts w:ascii="Verdana" w:hAnsi="Verdana"/>
                <w:sz w:val="18"/>
                <w:szCs w:val="18"/>
              </w:rPr>
            </w:pPr>
            <w:r w:rsidRPr="002371DB">
              <w:rPr>
                <w:rFonts w:ascii="Verdana" w:hAnsi="Verdana"/>
                <w:sz w:val="18"/>
                <w:szCs w:val="18"/>
              </w:rPr>
              <w:t xml:space="preserve">l’expert-comptable est un excellent partenaire conseil pour l’entreprise, tant pour la constitution de la documentation de prix de transfert que pour la défense en cas de contentieux </w:t>
            </w:r>
          </w:p>
          <w:p w14:paraId="5D931F01" w14:textId="77777777" w:rsidR="006B532E" w:rsidRPr="002371DB" w:rsidRDefault="006B532E" w:rsidP="006B532E">
            <w:pPr>
              <w:numPr>
                <w:ilvl w:val="0"/>
                <w:numId w:val="11"/>
              </w:numPr>
              <w:jc w:val="both"/>
              <w:rPr>
                <w:rFonts w:ascii="Verdana" w:hAnsi="Verdana"/>
                <w:sz w:val="18"/>
                <w:szCs w:val="18"/>
              </w:rPr>
            </w:pPr>
            <w:r w:rsidRPr="002371DB">
              <w:rPr>
                <w:rFonts w:ascii="Verdana" w:hAnsi="Verdana"/>
                <w:sz w:val="18"/>
                <w:szCs w:val="18"/>
              </w:rPr>
              <w:t xml:space="preserve">les problématiques relèvent essentiellement du contrôle de gestion et de l’analyse économique </w:t>
            </w:r>
          </w:p>
          <w:p w14:paraId="70196405" w14:textId="5FE5621E" w:rsidR="00F2084D" w:rsidRPr="002371DB" w:rsidRDefault="00F2084D" w:rsidP="001F40FA">
            <w:pPr>
              <w:pStyle w:val="NormalWeb"/>
              <w:spacing w:before="0" w:beforeAutospacing="0" w:after="0" w:afterAutospacing="0"/>
              <w:jc w:val="both"/>
              <w:rPr>
                <w:rFonts w:ascii="Verdana" w:hAnsi="Verdana"/>
                <w:sz w:val="18"/>
                <w:szCs w:val="18"/>
              </w:rPr>
            </w:pPr>
          </w:p>
        </w:tc>
      </w:tr>
      <w:tr w:rsidR="00F128D6" w:rsidRPr="002371DB" w14:paraId="16A9F373" w14:textId="77777777" w:rsidTr="002371DB">
        <w:tc>
          <w:tcPr>
            <w:tcW w:w="2127" w:type="dxa"/>
          </w:tcPr>
          <w:p w14:paraId="548CE0D0" w14:textId="77777777" w:rsidR="00F2084D" w:rsidRPr="002371DB" w:rsidRDefault="00F2084D" w:rsidP="001F40FA">
            <w:pPr>
              <w:tabs>
                <w:tab w:val="right" w:leader="dot" w:pos="1913"/>
              </w:tabs>
              <w:rPr>
                <w:rFonts w:ascii="Verdana" w:hAnsi="Verdana" w:cs="Tahoma"/>
                <w:sz w:val="18"/>
                <w:szCs w:val="18"/>
              </w:rPr>
            </w:pPr>
            <w:r w:rsidRPr="002371DB">
              <w:rPr>
                <w:rFonts w:ascii="Verdana" w:hAnsi="Verdana" w:cs="Tahoma"/>
                <w:sz w:val="18"/>
                <w:szCs w:val="18"/>
              </w:rPr>
              <w:t>Objectifs</w:t>
            </w:r>
            <w:r w:rsidRPr="002371DB">
              <w:rPr>
                <w:rFonts w:ascii="Verdana" w:hAnsi="Verdana" w:cs="Tahoma"/>
                <w:sz w:val="18"/>
                <w:szCs w:val="18"/>
              </w:rPr>
              <w:tab/>
            </w:r>
          </w:p>
          <w:p w14:paraId="3B99646E" w14:textId="77777777" w:rsidR="00F2084D" w:rsidRPr="002371DB" w:rsidRDefault="00F2084D" w:rsidP="001F40FA">
            <w:pPr>
              <w:tabs>
                <w:tab w:val="right" w:leader="dot" w:pos="1913"/>
              </w:tabs>
              <w:rPr>
                <w:rFonts w:ascii="Verdana" w:hAnsi="Verdana" w:cs="Tahoma"/>
                <w:sz w:val="18"/>
                <w:szCs w:val="18"/>
              </w:rPr>
            </w:pPr>
          </w:p>
        </w:tc>
        <w:tc>
          <w:tcPr>
            <w:tcW w:w="7723" w:type="dxa"/>
          </w:tcPr>
          <w:p w14:paraId="38628F8F" w14:textId="382A4295" w:rsidR="002371DB" w:rsidRPr="002371DB" w:rsidRDefault="002371DB" w:rsidP="001F40FA">
            <w:pPr>
              <w:jc w:val="both"/>
              <w:rPr>
                <w:rFonts w:ascii="Verdana" w:hAnsi="Verdana"/>
                <w:sz w:val="18"/>
                <w:szCs w:val="18"/>
              </w:rPr>
            </w:pPr>
            <w:r w:rsidRPr="002371DB">
              <w:rPr>
                <w:rFonts w:ascii="Verdana" w:hAnsi="Verdana"/>
                <w:sz w:val="18"/>
                <w:szCs w:val="18"/>
              </w:rPr>
              <w:t>A l’issue du séminaire, vous serez en mesure d’accompagner les clients demandeurs et de générer des missions auprès de ceux qui, bien que concernés, sont restés attentistes.</w:t>
            </w:r>
          </w:p>
          <w:p w14:paraId="06AE93C6" w14:textId="48491B9B" w:rsidR="00F2084D" w:rsidRPr="002371DB" w:rsidRDefault="00F2084D" w:rsidP="001F40FA">
            <w:pPr>
              <w:jc w:val="both"/>
              <w:rPr>
                <w:rFonts w:ascii="Verdana" w:hAnsi="Verdana"/>
                <w:sz w:val="18"/>
                <w:szCs w:val="18"/>
              </w:rPr>
            </w:pPr>
            <w:r w:rsidRPr="002371DB">
              <w:rPr>
                <w:rFonts w:ascii="Verdana" w:hAnsi="Verdana"/>
                <w:sz w:val="18"/>
                <w:szCs w:val="18"/>
              </w:rPr>
              <w:t xml:space="preserve">- Maîtriser la réglementation en vigueur </w:t>
            </w:r>
          </w:p>
          <w:p w14:paraId="7267D52A" w14:textId="77777777" w:rsidR="00F2084D" w:rsidRPr="002371DB" w:rsidRDefault="00F2084D" w:rsidP="001F40FA">
            <w:pPr>
              <w:jc w:val="both"/>
              <w:rPr>
                <w:rFonts w:ascii="Verdana" w:hAnsi="Verdana"/>
                <w:sz w:val="18"/>
                <w:szCs w:val="18"/>
              </w:rPr>
            </w:pPr>
            <w:r w:rsidRPr="002371DB">
              <w:rPr>
                <w:rFonts w:ascii="Verdana" w:hAnsi="Verdana"/>
                <w:sz w:val="18"/>
                <w:szCs w:val="18"/>
              </w:rPr>
              <w:t xml:space="preserve">- Savoir détecter les risques </w:t>
            </w:r>
          </w:p>
          <w:p w14:paraId="14699BFB" w14:textId="77777777" w:rsidR="00F2084D" w:rsidRPr="002371DB" w:rsidRDefault="00F2084D" w:rsidP="001F40FA">
            <w:pPr>
              <w:jc w:val="both"/>
              <w:rPr>
                <w:rFonts w:ascii="Verdana" w:hAnsi="Verdana"/>
                <w:sz w:val="18"/>
                <w:szCs w:val="18"/>
              </w:rPr>
            </w:pPr>
            <w:r w:rsidRPr="002371DB">
              <w:rPr>
                <w:rFonts w:ascii="Verdana" w:hAnsi="Verdana"/>
                <w:sz w:val="18"/>
                <w:szCs w:val="18"/>
              </w:rPr>
              <w:t xml:space="preserve">- Savoir conseiller, accompagner, défendre nos clients </w:t>
            </w:r>
          </w:p>
          <w:p w14:paraId="32919911" w14:textId="77777777" w:rsidR="00F2084D" w:rsidRPr="002371DB" w:rsidRDefault="00F2084D" w:rsidP="001F40FA">
            <w:pPr>
              <w:pStyle w:val="NormalWeb"/>
              <w:spacing w:before="0" w:beforeAutospacing="0" w:after="0" w:afterAutospacing="0"/>
              <w:jc w:val="both"/>
              <w:rPr>
                <w:rFonts w:ascii="Verdana" w:hAnsi="Verdana"/>
                <w:sz w:val="18"/>
                <w:szCs w:val="18"/>
              </w:rPr>
            </w:pPr>
            <w:r w:rsidRPr="002371DB">
              <w:rPr>
                <w:rFonts w:ascii="Verdana" w:hAnsi="Verdana"/>
                <w:sz w:val="18"/>
                <w:szCs w:val="18"/>
              </w:rPr>
              <w:t xml:space="preserve">- Savoir rédiger une documentation sur les prix de transfert </w:t>
            </w:r>
          </w:p>
        </w:tc>
      </w:tr>
      <w:tr w:rsidR="00F128D6" w:rsidRPr="002371DB" w14:paraId="25041CE6" w14:textId="77777777" w:rsidTr="002371DB">
        <w:trPr>
          <w:trHeight w:val="1705"/>
        </w:trPr>
        <w:tc>
          <w:tcPr>
            <w:tcW w:w="2127" w:type="dxa"/>
          </w:tcPr>
          <w:p w14:paraId="10ED4731" w14:textId="77777777" w:rsidR="00F2084D" w:rsidRPr="002371DB" w:rsidRDefault="00F2084D" w:rsidP="001F40FA">
            <w:pPr>
              <w:tabs>
                <w:tab w:val="right" w:leader="dot" w:pos="1913"/>
              </w:tabs>
              <w:rPr>
                <w:rFonts w:ascii="Verdana" w:hAnsi="Verdana" w:cs="Tahoma"/>
                <w:sz w:val="18"/>
                <w:szCs w:val="18"/>
              </w:rPr>
            </w:pPr>
            <w:r w:rsidRPr="002371DB">
              <w:rPr>
                <w:rFonts w:ascii="Verdana" w:hAnsi="Verdana" w:cs="Tahoma"/>
                <w:sz w:val="18"/>
                <w:szCs w:val="18"/>
              </w:rPr>
              <w:t>Contenu</w:t>
            </w:r>
            <w:r w:rsidRPr="002371DB">
              <w:rPr>
                <w:rFonts w:ascii="Verdana" w:hAnsi="Verdana" w:cs="Tahoma"/>
                <w:sz w:val="18"/>
                <w:szCs w:val="18"/>
              </w:rPr>
              <w:tab/>
            </w:r>
          </w:p>
          <w:p w14:paraId="79D0D00E" w14:textId="77777777" w:rsidR="00F2084D" w:rsidRPr="002371DB" w:rsidRDefault="00F2084D" w:rsidP="001F40FA">
            <w:pPr>
              <w:tabs>
                <w:tab w:val="right" w:leader="dot" w:pos="1913"/>
              </w:tabs>
              <w:rPr>
                <w:rFonts w:ascii="Verdana" w:hAnsi="Verdana" w:cs="Tahoma"/>
                <w:sz w:val="18"/>
                <w:szCs w:val="18"/>
              </w:rPr>
            </w:pPr>
          </w:p>
        </w:tc>
        <w:tc>
          <w:tcPr>
            <w:tcW w:w="7723" w:type="dxa"/>
          </w:tcPr>
          <w:p w14:paraId="5ACA9E33" w14:textId="77777777" w:rsidR="006B532E" w:rsidRPr="002371DB" w:rsidRDefault="006B532E" w:rsidP="006B532E">
            <w:pPr>
              <w:jc w:val="both"/>
              <w:rPr>
                <w:rFonts w:ascii="Verdana" w:hAnsi="Verdana"/>
                <w:b/>
                <w:sz w:val="18"/>
                <w:szCs w:val="18"/>
              </w:rPr>
            </w:pPr>
            <w:r w:rsidRPr="002371DB">
              <w:rPr>
                <w:rFonts w:ascii="Verdana" w:hAnsi="Verdana"/>
                <w:b/>
                <w:sz w:val="18"/>
                <w:szCs w:val="18"/>
              </w:rPr>
              <w:t xml:space="preserve">Introduction </w:t>
            </w:r>
          </w:p>
          <w:p w14:paraId="2A23E0C5"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Contexte : une liberté d’action économique transnationale contrainte et le principe de pleine concurrence</w:t>
            </w:r>
          </w:p>
          <w:p w14:paraId="3D72C207"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Intérêts et risques économiques, juridiques et fiscaux pour l’entité et le groupe auquel elle appartient</w:t>
            </w:r>
          </w:p>
          <w:p w14:paraId="768A65EC"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La place revenant à l’expert-comptable, conseil de l’entreprise, au jugement du commissaire aux comptes </w:t>
            </w:r>
          </w:p>
          <w:p w14:paraId="367517B4" w14:textId="77777777" w:rsidR="006B532E" w:rsidRPr="002371DB" w:rsidRDefault="006B532E" w:rsidP="006B532E">
            <w:pPr>
              <w:jc w:val="both"/>
              <w:rPr>
                <w:rFonts w:ascii="Verdana" w:hAnsi="Verdana"/>
                <w:b/>
                <w:sz w:val="18"/>
                <w:szCs w:val="18"/>
              </w:rPr>
            </w:pPr>
            <w:r w:rsidRPr="002371DB">
              <w:rPr>
                <w:rFonts w:ascii="Verdana" w:hAnsi="Verdana"/>
                <w:b/>
                <w:sz w:val="18"/>
                <w:szCs w:val="18"/>
              </w:rPr>
              <w:t xml:space="preserve">Maîtriser les droits et obligations </w:t>
            </w:r>
          </w:p>
          <w:p w14:paraId="451B2FBA"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Identification des entités concernées et des transactions visées </w:t>
            </w:r>
          </w:p>
          <w:p w14:paraId="3F02DC85"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Identification des normes et sources de droit applicables </w:t>
            </w:r>
          </w:p>
          <w:p w14:paraId="6BD2AE02"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Terminologie </w:t>
            </w:r>
          </w:p>
          <w:p w14:paraId="0C6A7ED0"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Les méthodes de détermination des prix de transfert </w:t>
            </w:r>
          </w:p>
          <w:p w14:paraId="6C8F9D3E"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Les obligations déclaratives et les dossiers documentaires</w:t>
            </w:r>
          </w:p>
          <w:p w14:paraId="5C904FC1"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L’interaction entre obligations françaises et internationales</w:t>
            </w:r>
          </w:p>
          <w:p w14:paraId="27507F40" w14:textId="77777777" w:rsidR="006B532E" w:rsidRPr="002371DB" w:rsidRDefault="006B532E" w:rsidP="006B532E">
            <w:pPr>
              <w:jc w:val="both"/>
              <w:rPr>
                <w:rFonts w:ascii="Verdana" w:hAnsi="Verdana"/>
                <w:b/>
                <w:sz w:val="18"/>
                <w:szCs w:val="18"/>
              </w:rPr>
            </w:pPr>
            <w:r w:rsidRPr="002371DB">
              <w:rPr>
                <w:rFonts w:ascii="Verdana" w:hAnsi="Verdana"/>
                <w:b/>
                <w:sz w:val="18"/>
                <w:szCs w:val="18"/>
              </w:rPr>
              <w:t xml:space="preserve">Acquérir une compétence opérationnelle </w:t>
            </w:r>
          </w:p>
          <w:p w14:paraId="562E6F73"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La collecte d'information : l'audit contractuel et fonctionnel</w:t>
            </w:r>
          </w:p>
          <w:p w14:paraId="4E766744"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La constitution de la documentation</w:t>
            </w:r>
          </w:p>
          <w:p w14:paraId="2F648966"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Définir une mission d'accompagnement dans l'établissement de la documentation des prix de transfert </w:t>
            </w:r>
          </w:p>
          <w:p w14:paraId="3EF7E4E6"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Les accords préalables sur les prix de transfert </w:t>
            </w:r>
          </w:p>
          <w:p w14:paraId="47151309"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Le contrôle des prix de transfert, les conséquences d'un redressement, les autres sanctions </w:t>
            </w:r>
          </w:p>
          <w:p w14:paraId="0E88250D" w14:textId="77777777" w:rsidR="006B532E" w:rsidRPr="002371DB" w:rsidRDefault="006B532E" w:rsidP="006B532E">
            <w:pPr>
              <w:numPr>
                <w:ilvl w:val="0"/>
                <w:numId w:val="12"/>
              </w:numPr>
              <w:jc w:val="both"/>
              <w:rPr>
                <w:rFonts w:ascii="Verdana" w:hAnsi="Verdana"/>
                <w:sz w:val="18"/>
                <w:szCs w:val="18"/>
              </w:rPr>
            </w:pPr>
            <w:r w:rsidRPr="002371DB">
              <w:rPr>
                <w:rFonts w:ascii="Verdana" w:hAnsi="Verdana"/>
                <w:sz w:val="18"/>
                <w:szCs w:val="18"/>
              </w:rPr>
              <w:t xml:space="preserve">Les conflits et contentieux </w:t>
            </w:r>
          </w:p>
          <w:p w14:paraId="180222F7" w14:textId="77777777" w:rsidR="00F2084D" w:rsidRPr="002371DB" w:rsidRDefault="006B532E" w:rsidP="006B532E">
            <w:pPr>
              <w:pStyle w:val="NormalWeb"/>
              <w:numPr>
                <w:ilvl w:val="0"/>
                <w:numId w:val="12"/>
              </w:numPr>
              <w:spacing w:before="0" w:beforeAutospacing="0" w:after="0" w:afterAutospacing="0"/>
              <w:jc w:val="both"/>
              <w:rPr>
                <w:rFonts w:ascii="Verdana" w:hAnsi="Verdana" w:cs="Tahoma"/>
                <w:sz w:val="18"/>
                <w:szCs w:val="18"/>
              </w:rPr>
            </w:pPr>
            <w:r w:rsidRPr="002371DB">
              <w:rPr>
                <w:rFonts w:ascii="Verdana" w:hAnsi="Verdana"/>
                <w:sz w:val="18"/>
                <w:szCs w:val="18"/>
              </w:rPr>
              <w:t>Aperçus des réglementations prix de transfert applicables chez les principaux partenaires commerciaux français</w:t>
            </w:r>
          </w:p>
        </w:tc>
      </w:tr>
      <w:tr w:rsidR="00F128D6" w:rsidRPr="002371DB" w14:paraId="4461DE84" w14:textId="77777777" w:rsidTr="002371DB">
        <w:trPr>
          <w:trHeight w:val="478"/>
        </w:trPr>
        <w:tc>
          <w:tcPr>
            <w:tcW w:w="2127" w:type="dxa"/>
          </w:tcPr>
          <w:p w14:paraId="29D55BC1" w14:textId="77777777" w:rsidR="00F2084D" w:rsidRPr="002371DB" w:rsidRDefault="00F2084D" w:rsidP="001F40FA">
            <w:pPr>
              <w:tabs>
                <w:tab w:val="right" w:leader="dot" w:pos="1913"/>
              </w:tabs>
              <w:rPr>
                <w:rFonts w:ascii="Verdana" w:hAnsi="Verdana" w:cs="Tahoma"/>
                <w:sz w:val="18"/>
                <w:szCs w:val="18"/>
              </w:rPr>
            </w:pPr>
            <w:r w:rsidRPr="002371DB">
              <w:rPr>
                <w:rFonts w:ascii="Verdana" w:hAnsi="Verdana" w:cs="Tahoma"/>
                <w:sz w:val="18"/>
                <w:szCs w:val="18"/>
              </w:rPr>
              <w:t>Pédagogie</w:t>
            </w:r>
            <w:r w:rsidRPr="002371DB">
              <w:rPr>
                <w:rFonts w:ascii="Verdana" w:hAnsi="Verdana" w:cs="Tahoma"/>
                <w:sz w:val="18"/>
                <w:szCs w:val="18"/>
              </w:rPr>
              <w:tab/>
            </w:r>
          </w:p>
        </w:tc>
        <w:tc>
          <w:tcPr>
            <w:tcW w:w="7723" w:type="dxa"/>
          </w:tcPr>
          <w:p w14:paraId="792DB76D" w14:textId="77777777" w:rsidR="00F2084D" w:rsidRPr="002371DB" w:rsidRDefault="00F2084D" w:rsidP="001F40FA">
            <w:pPr>
              <w:rPr>
                <w:rFonts w:ascii="Verdana" w:hAnsi="Verdana"/>
                <w:sz w:val="18"/>
                <w:szCs w:val="18"/>
              </w:rPr>
            </w:pPr>
            <w:r w:rsidRPr="002371DB">
              <w:rPr>
                <w:rFonts w:ascii="Verdana" w:hAnsi="Verdana"/>
                <w:sz w:val="18"/>
                <w:szCs w:val="18"/>
              </w:rPr>
              <w:t xml:space="preserve">Etude de cas </w:t>
            </w:r>
          </w:p>
          <w:p w14:paraId="69E2D944" w14:textId="77777777" w:rsidR="00F2084D" w:rsidRPr="002371DB" w:rsidRDefault="00F2084D" w:rsidP="001F40FA">
            <w:pPr>
              <w:rPr>
                <w:rFonts w:ascii="Verdana" w:hAnsi="Verdana"/>
                <w:sz w:val="18"/>
                <w:szCs w:val="18"/>
              </w:rPr>
            </w:pPr>
            <w:r w:rsidRPr="002371DB">
              <w:rPr>
                <w:rFonts w:ascii="Verdana" w:hAnsi="Verdana"/>
                <w:sz w:val="18"/>
                <w:szCs w:val="18"/>
              </w:rPr>
              <w:t xml:space="preserve">Exposé </w:t>
            </w:r>
          </w:p>
          <w:p w14:paraId="3EB5EB88" w14:textId="77777777" w:rsidR="00F2084D" w:rsidRPr="002371DB" w:rsidRDefault="00F2084D" w:rsidP="001F40FA">
            <w:pPr>
              <w:rPr>
                <w:rFonts w:ascii="Verdana" w:hAnsi="Verdana"/>
                <w:sz w:val="18"/>
                <w:szCs w:val="18"/>
              </w:rPr>
            </w:pPr>
            <w:r w:rsidRPr="002371DB">
              <w:rPr>
                <w:rFonts w:ascii="Verdana" w:hAnsi="Verdana"/>
                <w:sz w:val="18"/>
                <w:szCs w:val="18"/>
              </w:rPr>
              <w:t>Evaluation de l'acquisition des connaissances</w:t>
            </w:r>
          </w:p>
          <w:p w14:paraId="580D11FC" w14:textId="77777777" w:rsidR="00F2084D" w:rsidRPr="002371DB" w:rsidRDefault="00F2084D" w:rsidP="001F40FA">
            <w:pPr>
              <w:pStyle w:val="NormalWeb"/>
              <w:spacing w:before="0" w:beforeAutospacing="0" w:after="0" w:afterAutospacing="0"/>
              <w:rPr>
                <w:rFonts w:ascii="Verdana" w:hAnsi="Verdana"/>
                <w:sz w:val="18"/>
                <w:szCs w:val="18"/>
              </w:rPr>
            </w:pPr>
            <w:r w:rsidRPr="002371DB">
              <w:rPr>
                <w:rFonts w:ascii="Verdana" w:hAnsi="Verdana"/>
                <w:sz w:val="18"/>
                <w:szCs w:val="18"/>
              </w:rPr>
              <w:t>QCM de validation</w:t>
            </w:r>
          </w:p>
          <w:p w14:paraId="2E2B8870" w14:textId="77777777" w:rsidR="002371DB" w:rsidRPr="002371DB" w:rsidRDefault="002371DB" w:rsidP="002371DB">
            <w:pPr>
              <w:rPr>
                <w:rFonts w:ascii="Verdana" w:eastAsiaTheme="minorEastAsia" w:hAnsi="Verdana"/>
                <w:sz w:val="18"/>
                <w:szCs w:val="18"/>
              </w:rPr>
            </w:pPr>
            <w:r w:rsidRPr="002371DB">
              <w:rPr>
                <w:rFonts w:ascii="Verdana" w:eastAsiaTheme="minorEastAsia" w:hAnsi="Verdana"/>
                <w:sz w:val="18"/>
                <w:szCs w:val="18"/>
                <w:u w:val="single"/>
              </w:rPr>
              <w:t>Validation de la formation :</w:t>
            </w:r>
            <w:r w:rsidRPr="002371DB">
              <w:rPr>
                <w:rFonts w:ascii="Verdana" w:eastAsiaTheme="minorEastAsia" w:hAnsi="Verdana"/>
                <w:sz w:val="18"/>
                <w:szCs w:val="18"/>
              </w:rPr>
              <w:t xml:space="preserve"> Attestation de fin de formation</w:t>
            </w:r>
          </w:p>
          <w:p w14:paraId="64199479" w14:textId="571E0AC0" w:rsidR="002371DB" w:rsidRPr="002371DB" w:rsidRDefault="002371DB" w:rsidP="002371DB">
            <w:pPr>
              <w:pStyle w:val="NormalWeb"/>
              <w:spacing w:before="0" w:beforeAutospacing="0" w:after="0" w:afterAutospacing="0"/>
              <w:rPr>
                <w:rFonts w:ascii="Verdana" w:hAnsi="Verdana"/>
                <w:sz w:val="18"/>
                <w:szCs w:val="18"/>
              </w:rPr>
            </w:pPr>
            <w:r w:rsidRPr="002371DB">
              <w:rPr>
                <w:rFonts w:ascii="Verdana" w:eastAsia="Times New Roman" w:hAnsi="Verdana"/>
                <w:sz w:val="18"/>
                <w:szCs w:val="18"/>
                <w:u w:val="single"/>
              </w:rPr>
              <w:t>Effectif :</w:t>
            </w:r>
            <w:r w:rsidRPr="002371DB">
              <w:rPr>
                <w:rFonts w:ascii="Verdana" w:eastAsia="Times New Roman" w:hAnsi="Verdana"/>
                <w:sz w:val="18"/>
                <w:szCs w:val="18"/>
              </w:rPr>
              <w:t xml:space="preserve"> entre 5 et 20 participants</w:t>
            </w:r>
          </w:p>
        </w:tc>
      </w:tr>
      <w:tr w:rsidR="00F128D6" w:rsidRPr="002371DB" w14:paraId="7749CDCA" w14:textId="77777777" w:rsidTr="002371DB">
        <w:trPr>
          <w:trHeight w:val="478"/>
        </w:trPr>
        <w:tc>
          <w:tcPr>
            <w:tcW w:w="2127" w:type="dxa"/>
          </w:tcPr>
          <w:p w14:paraId="79A251C1" w14:textId="77777777" w:rsidR="00F2084D" w:rsidRPr="002371DB" w:rsidRDefault="00F2084D" w:rsidP="00F2084D">
            <w:pPr>
              <w:tabs>
                <w:tab w:val="right" w:leader="dot" w:pos="1913"/>
              </w:tabs>
              <w:rPr>
                <w:rFonts w:ascii="Verdana" w:hAnsi="Verdana" w:cs="Tahoma"/>
                <w:sz w:val="18"/>
                <w:szCs w:val="18"/>
              </w:rPr>
            </w:pPr>
            <w:r w:rsidRPr="002371DB">
              <w:rPr>
                <w:rFonts w:ascii="Verdana" w:hAnsi="Verdana" w:cs="Tahoma"/>
                <w:sz w:val="18"/>
                <w:szCs w:val="18"/>
              </w:rPr>
              <w:t>Public</w:t>
            </w:r>
            <w:r w:rsidRPr="002371DB">
              <w:rPr>
                <w:rFonts w:ascii="Verdana" w:hAnsi="Verdana" w:cs="Tahoma"/>
                <w:sz w:val="18"/>
                <w:szCs w:val="18"/>
              </w:rPr>
              <w:tab/>
            </w:r>
          </w:p>
        </w:tc>
        <w:tc>
          <w:tcPr>
            <w:tcW w:w="7723" w:type="dxa"/>
          </w:tcPr>
          <w:p w14:paraId="32BCB98B" w14:textId="77777777" w:rsidR="00F2084D" w:rsidRPr="002371DB" w:rsidRDefault="00F2084D" w:rsidP="00F2084D">
            <w:pPr>
              <w:rPr>
                <w:rFonts w:ascii="Verdana" w:hAnsi="Verdana"/>
                <w:sz w:val="18"/>
                <w:szCs w:val="18"/>
              </w:rPr>
            </w:pPr>
            <w:r w:rsidRPr="002371DB">
              <w:rPr>
                <w:rFonts w:ascii="Verdana" w:hAnsi="Verdana"/>
                <w:sz w:val="18"/>
                <w:szCs w:val="18"/>
              </w:rPr>
              <w:t>Tout collaborateur rencontrant des problématiques de fiscalité internationale et désirant mieux intégrer la dimension fiscale à l’international dans ses décisions</w:t>
            </w:r>
            <w:r w:rsidR="001A1120" w:rsidRPr="002371DB">
              <w:rPr>
                <w:rFonts w:ascii="Verdana" w:hAnsi="Verdana"/>
                <w:sz w:val="18"/>
                <w:szCs w:val="18"/>
              </w:rPr>
              <w:t>.</w:t>
            </w:r>
          </w:p>
          <w:p w14:paraId="63275737" w14:textId="13B0FFE5" w:rsidR="002371DB" w:rsidRPr="002371DB" w:rsidRDefault="002371DB" w:rsidP="00F2084D">
            <w:pPr>
              <w:rPr>
                <w:rFonts w:ascii="Verdana" w:hAnsi="Verdana"/>
                <w:sz w:val="18"/>
                <w:szCs w:val="18"/>
              </w:rPr>
            </w:pPr>
            <w:r w:rsidRPr="002371DB">
              <w:rPr>
                <w:rFonts w:ascii="Verdana" w:hAnsi="Verdana"/>
                <w:sz w:val="18"/>
                <w:szCs w:val="18"/>
              </w:rPr>
              <w:t xml:space="preserve">Cette formation ne nécessite aucun </w:t>
            </w:r>
            <w:proofErr w:type="spellStart"/>
            <w:r w:rsidRPr="002371DB">
              <w:rPr>
                <w:rFonts w:ascii="Verdana" w:hAnsi="Verdana"/>
                <w:sz w:val="18"/>
                <w:szCs w:val="18"/>
              </w:rPr>
              <w:t>pré-requis</w:t>
            </w:r>
            <w:proofErr w:type="spellEnd"/>
          </w:p>
        </w:tc>
      </w:tr>
      <w:tr w:rsidR="00F128D6" w:rsidRPr="002371DB" w14:paraId="1CBE5271" w14:textId="77777777" w:rsidTr="002371DB">
        <w:trPr>
          <w:trHeight w:val="478"/>
        </w:trPr>
        <w:tc>
          <w:tcPr>
            <w:tcW w:w="2127" w:type="dxa"/>
          </w:tcPr>
          <w:p w14:paraId="6568C567" w14:textId="77777777" w:rsidR="00F2084D" w:rsidRPr="002371DB" w:rsidRDefault="00F2084D" w:rsidP="00F2084D">
            <w:pPr>
              <w:tabs>
                <w:tab w:val="right" w:leader="dot" w:pos="1913"/>
              </w:tabs>
              <w:rPr>
                <w:rFonts w:ascii="Verdana" w:hAnsi="Verdana" w:cs="Tahoma"/>
                <w:sz w:val="18"/>
                <w:szCs w:val="18"/>
              </w:rPr>
            </w:pPr>
            <w:r w:rsidRPr="002371DB">
              <w:rPr>
                <w:rFonts w:ascii="Verdana" w:hAnsi="Verdana" w:cs="Tahoma"/>
                <w:sz w:val="18"/>
                <w:szCs w:val="18"/>
              </w:rPr>
              <w:t>Durée</w:t>
            </w:r>
            <w:r w:rsidRPr="002371DB">
              <w:rPr>
                <w:rFonts w:ascii="Verdana" w:hAnsi="Verdana" w:cs="Tahoma"/>
                <w:sz w:val="18"/>
                <w:szCs w:val="18"/>
              </w:rPr>
              <w:tab/>
              <w:t xml:space="preserve"> </w:t>
            </w:r>
          </w:p>
        </w:tc>
        <w:tc>
          <w:tcPr>
            <w:tcW w:w="7723" w:type="dxa"/>
          </w:tcPr>
          <w:p w14:paraId="7F69E68B" w14:textId="77777777" w:rsidR="00F2084D" w:rsidRPr="002371DB" w:rsidRDefault="00F2084D" w:rsidP="00F2084D">
            <w:pPr>
              <w:rPr>
                <w:rFonts w:ascii="Verdana" w:hAnsi="Verdana"/>
                <w:sz w:val="18"/>
                <w:szCs w:val="18"/>
              </w:rPr>
            </w:pPr>
            <w:r w:rsidRPr="002371DB">
              <w:rPr>
                <w:rFonts w:ascii="Verdana" w:hAnsi="Verdana"/>
                <w:sz w:val="18"/>
                <w:szCs w:val="18"/>
              </w:rPr>
              <w:t>1 jour soit 7 heures</w:t>
            </w:r>
          </w:p>
        </w:tc>
      </w:tr>
      <w:tr w:rsidR="00F128D6" w:rsidRPr="002371DB" w14:paraId="7166D8E0" w14:textId="77777777" w:rsidTr="002371DB">
        <w:trPr>
          <w:trHeight w:val="478"/>
        </w:trPr>
        <w:tc>
          <w:tcPr>
            <w:tcW w:w="2127" w:type="dxa"/>
          </w:tcPr>
          <w:p w14:paraId="4C6D7AEA" w14:textId="77777777" w:rsidR="00F2084D" w:rsidRPr="002371DB" w:rsidRDefault="00F2084D" w:rsidP="00F2084D">
            <w:pPr>
              <w:tabs>
                <w:tab w:val="right" w:leader="dot" w:pos="1913"/>
              </w:tabs>
              <w:rPr>
                <w:rFonts w:ascii="Verdana" w:hAnsi="Verdana" w:cs="Tahoma"/>
                <w:sz w:val="18"/>
                <w:szCs w:val="18"/>
              </w:rPr>
            </w:pPr>
            <w:r w:rsidRPr="002371DB">
              <w:rPr>
                <w:rFonts w:ascii="Verdana" w:hAnsi="Verdana" w:cs="Tahoma"/>
                <w:sz w:val="18"/>
                <w:szCs w:val="18"/>
              </w:rPr>
              <w:t>Code</w:t>
            </w:r>
            <w:r w:rsidRPr="002371DB">
              <w:rPr>
                <w:rFonts w:ascii="Verdana" w:hAnsi="Verdana" w:cs="Tahoma"/>
                <w:sz w:val="18"/>
                <w:szCs w:val="18"/>
              </w:rPr>
              <w:tab/>
            </w:r>
          </w:p>
        </w:tc>
        <w:tc>
          <w:tcPr>
            <w:tcW w:w="7723" w:type="dxa"/>
          </w:tcPr>
          <w:p w14:paraId="1F112FE3" w14:textId="77777777" w:rsidR="00F2084D" w:rsidRPr="002371DB" w:rsidRDefault="00F2084D" w:rsidP="00F2084D">
            <w:pPr>
              <w:rPr>
                <w:rFonts w:ascii="Verdana" w:hAnsi="Verdana"/>
                <w:sz w:val="18"/>
                <w:szCs w:val="18"/>
              </w:rPr>
            </w:pPr>
            <w:r w:rsidRPr="002371DB">
              <w:rPr>
                <w:rFonts w:ascii="Verdana" w:hAnsi="Verdana"/>
                <w:sz w:val="18"/>
                <w:szCs w:val="18"/>
              </w:rPr>
              <w:t>FIS4</w:t>
            </w:r>
          </w:p>
        </w:tc>
      </w:tr>
      <w:tr w:rsidR="002371DB" w:rsidRPr="002371DB" w14:paraId="2368A1D1" w14:textId="77777777" w:rsidTr="002371DB">
        <w:trPr>
          <w:trHeight w:val="478"/>
        </w:trPr>
        <w:tc>
          <w:tcPr>
            <w:tcW w:w="2127" w:type="dxa"/>
          </w:tcPr>
          <w:p w14:paraId="61AA0605" w14:textId="07FA65BA" w:rsidR="002371DB" w:rsidRPr="002371DB" w:rsidRDefault="002371DB" w:rsidP="002371DB">
            <w:pPr>
              <w:tabs>
                <w:tab w:val="right" w:leader="dot" w:pos="1913"/>
              </w:tabs>
              <w:rPr>
                <w:rFonts w:ascii="Verdana" w:hAnsi="Verdana" w:cs="Tahoma"/>
                <w:sz w:val="18"/>
                <w:szCs w:val="18"/>
              </w:rPr>
            </w:pPr>
            <w:r w:rsidRPr="002371DB">
              <w:rPr>
                <w:rFonts w:ascii="Verdana" w:hAnsi="Verdana" w:cs="Tahoma"/>
                <w:sz w:val="18"/>
                <w:szCs w:val="18"/>
              </w:rPr>
              <w:lastRenderedPageBreak/>
              <w:t>Méthode pédagogique……….</w:t>
            </w:r>
          </w:p>
        </w:tc>
        <w:tc>
          <w:tcPr>
            <w:tcW w:w="7723" w:type="dxa"/>
          </w:tcPr>
          <w:p w14:paraId="2C1D5714" w14:textId="77777777" w:rsidR="002371DB" w:rsidRPr="002371DB" w:rsidRDefault="002371DB" w:rsidP="002371DB">
            <w:pPr>
              <w:pStyle w:val="NormalWeb"/>
              <w:spacing w:before="0" w:beforeAutospacing="0" w:after="0" w:afterAutospacing="0"/>
              <w:rPr>
                <w:rFonts w:ascii="Verdana" w:hAnsi="Verdana"/>
                <w:sz w:val="18"/>
                <w:szCs w:val="18"/>
                <w:u w:val="single"/>
              </w:rPr>
            </w:pPr>
            <w:r w:rsidRPr="002371DB">
              <w:rPr>
                <w:rFonts w:ascii="Verdana" w:hAnsi="Verdana"/>
                <w:sz w:val="18"/>
                <w:szCs w:val="18"/>
                <w:u w:val="single"/>
              </w:rPr>
              <w:t>Qualification des formateurs</w:t>
            </w:r>
          </w:p>
          <w:p w14:paraId="7CA2712E" w14:textId="77777777" w:rsidR="002371DB" w:rsidRPr="002371DB" w:rsidRDefault="002371DB" w:rsidP="002371DB">
            <w:pPr>
              <w:pStyle w:val="NormalWeb"/>
              <w:spacing w:before="0" w:beforeAutospacing="0" w:after="0" w:afterAutospacing="0"/>
              <w:rPr>
                <w:rFonts w:ascii="Verdana" w:hAnsi="Verdana"/>
                <w:sz w:val="18"/>
                <w:szCs w:val="18"/>
              </w:rPr>
            </w:pPr>
            <w:r w:rsidRPr="002371DB">
              <w:rPr>
                <w:rFonts w:ascii="Verdana" w:hAnsi="Verdana"/>
                <w:sz w:val="18"/>
                <w:szCs w:val="18"/>
              </w:rPr>
              <w:t>Les formateurs sont des professionnels sélectionnés pour leur maîtrise du sujet enseigné et leur expérience pratique afin de proposer une approche pragmatique et concrète des sujets traités.</w:t>
            </w:r>
          </w:p>
          <w:p w14:paraId="7EDCE685" w14:textId="77777777" w:rsidR="002371DB" w:rsidRPr="002371DB" w:rsidRDefault="002371DB" w:rsidP="002371DB">
            <w:pPr>
              <w:pStyle w:val="NormalWeb"/>
              <w:spacing w:before="0" w:beforeAutospacing="0" w:after="0" w:afterAutospacing="0"/>
              <w:rPr>
                <w:rFonts w:ascii="Verdana" w:hAnsi="Verdana"/>
                <w:sz w:val="18"/>
                <w:szCs w:val="18"/>
              </w:rPr>
            </w:pPr>
          </w:p>
          <w:p w14:paraId="7B848369" w14:textId="77777777" w:rsidR="002371DB" w:rsidRPr="002371DB" w:rsidRDefault="002371DB" w:rsidP="002371DB">
            <w:pPr>
              <w:pStyle w:val="NormalWeb"/>
              <w:spacing w:before="0" w:beforeAutospacing="0" w:after="0" w:afterAutospacing="0"/>
              <w:rPr>
                <w:rFonts w:ascii="Verdana" w:hAnsi="Verdana"/>
                <w:sz w:val="18"/>
                <w:szCs w:val="18"/>
                <w:u w:val="single"/>
              </w:rPr>
            </w:pPr>
            <w:r w:rsidRPr="002371DB">
              <w:rPr>
                <w:rFonts w:ascii="Verdana" w:hAnsi="Verdana"/>
                <w:sz w:val="18"/>
                <w:szCs w:val="18"/>
                <w:u w:val="single"/>
              </w:rPr>
              <w:t>Moyens pédagogiques et d’encadrement</w:t>
            </w:r>
          </w:p>
          <w:p w14:paraId="25B2402B" w14:textId="77777777" w:rsidR="002371DB" w:rsidRPr="002371DB" w:rsidRDefault="002371DB" w:rsidP="002371DB">
            <w:pPr>
              <w:pStyle w:val="NormalWeb"/>
              <w:spacing w:before="0" w:beforeAutospacing="0" w:after="0" w:afterAutospacing="0"/>
              <w:rPr>
                <w:rFonts w:ascii="Verdana" w:hAnsi="Verdana"/>
                <w:sz w:val="18"/>
                <w:szCs w:val="18"/>
              </w:rPr>
            </w:pPr>
            <w:r w:rsidRPr="002371DB">
              <w:rPr>
                <w:rFonts w:ascii="Verdana" w:hAnsi="Verdana"/>
                <w:sz w:val="18"/>
                <w:szCs w:val="18"/>
              </w:rPr>
              <w:t>Salles de formation disposant des matériels pédagogiques et techniques nécessaires (</w:t>
            </w:r>
            <w:proofErr w:type="spellStart"/>
            <w:r w:rsidRPr="002371DB">
              <w:rPr>
                <w:rFonts w:ascii="Verdana" w:hAnsi="Verdana"/>
                <w:sz w:val="18"/>
                <w:szCs w:val="18"/>
              </w:rPr>
              <w:t>paperboard</w:t>
            </w:r>
            <w:proofErr w:type="spellEnd"/>
            <w:r w:rsidRPr="002371DB">
              <w:rPr>
                <w:rFonts w:ascii="Verdana" w:hAnsi="Verdana"/>
                <w:sz w:val="18"/>
                <w:szCs w:val="18"/>
              </w:rPr>
              <w:t>, vidéoprojecteur, visioconférence, …) au bon déroulement de la formation.</w:t>
            </w:r>
          </w:p>
          <w:p w14:paraId="42547030" w14:textId="77777777" w:rsidR="002371DB" w:rsidRPr="002371DB" w:rsidRDefault="002371DB" w:rsidP="002371DB">
            <w:pPr>
              <w:pStyle w:val="NormalWeb"/>
              <w:spacing w:before="0" w:beforeAutospacing="0" w:after="0" w:afterAutospacing="0"/>
              <w:rPr>
                <w:rFonts w:ascii="Verdana" w:hAnsi="Verdana"/>
                <w:sz w:val="18"/>
                <w:szCs w:val="18"/>
              </w:rPr>
            </w:pPr>
          </w:p>
          <w:p w14:paraId="3C60AE9D" w14:textId="77777777" w:rsidR="002371DB" w:rsidRPr="002371DB" w:rsidRDefault="002371DB" w:rsidP="002371DB">
            <w:pPr>
              <w:pStyle w:val="NormalWeb"/>
              <w:spacing w:before="0" w:beforeAutospacing="0" w:after="0" w:afterAutospacing="0"/>
              <w:rPr>
                <w:rFonts w:ascii="Verdana" w:hAnsi="Verdana"/>
                <w:sz w:val="18"/>
                <w:szCs w:val="18"/>
                <w:u w:val="single"/>
              </w:rPr>
            </w:pPr>
            <w:r w:rsidRPr="002371DB">
              <w:rPr>
                <w:rFonts w:ascii="Verdana" w:hAnsi="Verdana"/>
                <w:sz w:val="18"/>
                <w:szCs w:val="18"/>
                <w:u w:val="single"/>
              </w:rPr>
              <w:t>Moyens d'évaluation de l'atteinte des objectifs</w:t>
            </w:r>
          </w:p>
          <w:p w14:paraId="64179A52" w14:textId="77777777" w:rsidR="002371DB" w:rsidRPr="002371DB" w:rsidRDefault="002371DB" w:rsidP="002371DB">
            <w:pPr>
              <w:pStyle w:val="NormalWeb"/>
              <w:spacing w:before="0" w:beforeAutospacing="0" w:after="0" w:afterAutospacing="0"/>
              <w:rPr>
                <w:rFonts w:ascii="Verdana" w:hAnsi="Verdana"/>
                <w:sz w:val="18"/>
                <w:szCs w:val="18"/>
              </w:rPr>
            </w:pPr>
            <w:r w:rsidRPr="002371DB">
              <w:rPr>
                <w:rFonts w:ascii="Verdana" w:hAnsi="Verdana"/>
                <w:sz w:val="18"/>
                <w:szCs w:val="18"/>
              </w:rPr>
              <w:t>Questionnaire de validation des acquis.</w:t>
            </w:r>
          </w:p>
          <w:p w14:paraId="78881B18" w14:textId="77777777" w:rsidR="002371DB" w:rsidRPr="002371DB" w:rsidRDefault="002371DB" w:rsidP="002371DB">
            <w:pPr>
              <w:pStyle w:val="NormalWeb"/>
              <w:spacing w:before="0" w:beforeAutospacing="0" w:after="0" w:afterAutospacing="0"/>
              <w:rPr>
                <w:rFonts w:ascii="Verdana" w:hAnsi="Verdana"/>
                <w:sz w:val="18"/>
                <w:szCs w:val="18"/>
              </w:rPr>
            </w:pPr>
          </w:p>
          <w:p w14:paraId="188469B9" w14:textId="77777777" w:rsidR="002371DB" w:rsidRPr="002371DB" w:rsidRDefault="002371DB" w:rsidP="002371DB">
            <w:pPr>
              <w:pStyle w:val="NormalWeb"/>
              <w:spacing w:before="0" w:beforeAutospacing="0" w:after="0" w:afterAutospacing="0"/>
              <w:rPr>
                <w:rFonts w:ascii="Verdana" w:hAnsi="Verdana"/>
                <w:sz w:val="18"/>
                <w:szCs w:val="18"/>
                <w:u w:val="single"/>
              </w:rPr>
            </w:pPr>
            <w:r w:rsidRPr="002371DB">
              <w:rPr>
                <w:rFonts w:ascii="Verdana" w:hAnsi="Verdana"/>
                <w:sz w:val="18"/>
                <w:szCs w:val="18"/>
                <w:u w:val="single"/>
              </w:rPr>
              <w:t>Moyens de suivi de l'exécution de l'action</w:t>
            </w:r>
          </w:p>
          <w:p w14:paraId="2AD89761" w14:textId="77777777" w:rsidR="002371DB" w:rsidRPr="002371DB" w:rsidRDefault="002371DB" w:rsidP="002371DB">
            <w:pPr>
              <w:pStyle w:val="NormalWeb"/>
              <w:spacing w:before="0" w:beforeAutospacing="0" w:after="0" w:afterAutospacing="0"/>
              <w:rPr>
                <w:rFonts w:ascii="Verdana" w:hAnsi="Verdana"/>
                <w:sz w:val="18"/>
                <w:szCs w:val="18"/>
              </w:rPr>
            </w:pPr>
            <w:r w:rsidRPr="002371DB">
              <w:rPr>
                <w:rFonts w:ascii="Verdana" w:hAnsi="Verdana"/>
                <w:sz w:val="18"/>
                <w:szCs w:val="18"/>
              </w:rPr>
              <w:t>Feuille de présence signée par les participants ou rapport de connexion si classe virtuelle.</w:t>
            </w:r>
          </w:p>
          <w:p w14:paraId="52342E6B" w14:textId="77777777" w:rsidR="002371DB" w:rsidRPr="002371DB" w:rsidRDefault="002371DB" w:rsidP="002371DB">
            <w:pPr>
              <w:pStyle w:val="NormalWeb"/>
              <w:spacing w:before="0" w:beforeAutospacing="0" w:after="0" w:afterAutospacing="0"/>
              <w:rPr>
                <w:rFonts w:ascii="Verdana" w:hAnsi="Verdana"/>
                <w:sz w:val="18"/>
                <w:szCs w:val="18"/>
              </w:rPr>
            </w:pPr>
          </w:p>
          <w:p w14:paraId="36E591F8" w14:textId="77777777" w:rsidR="002371DB" w:rsidRPr="002371DB" w:rsidRDefault="002371DB" w:rsidP="002371DB">
            <w:pPr>
              <w:pStyle w:val="NormalWeb"/>
              <w:spacing w:before="0" w:beforeAutospacing="0" w:after="0" w:afterAutospacing="0"/>
              <w:rPr>
                <w:rFonts w:ascii="Verdana" w:hAnsi="Verdana"/>
                <w:sz w:val="18"/>
                <w:szCs w:val="18"/>
                <w:u w:val="single"/>
              </w:rPr>
            </w:pPr>
            <w:r w:rsidRPr="002371DB">
              <w:rPr>
                <w:rFonts w:ascii="Verdana" w:hAnsi="Verdana"/>
                <w:sz w:val="18"/>
                <w:szCs w:val="18"/>
                <w:u w:val="single"/>
              </w:rPr>
              <w:t xml:space="preserve">Modalités d'accessibilité </w:t>
            </w:r>
          </w:p>
          <w:p w14:paraId="52B5CC3A" w14:textId="201D9B6E" w:rsidR="002371DB" w:rsidRPr="002371DB" w:rsidRDefault="002371DB" w:rsidP="002371DB">
            <w:pPr>
              <w:rPr>
                <w:rFonts w:ascii="Verdana" w:hAnsi="Verdana"/>
                <w:sz w:val="18"/>
                <w:szCs w:val="18"/>
              </w:rPr>
            </w:pPr>
            <w:r w:rsidRPr="002371DB">
              <w:rPr>
                <w:rFonts w:ascii="Verdana" w:hAnsi="Verdana"/>
                <w:sz w:val="18"/>
                <w:szCs w:val="18"/>
              </w:rPr>
              <w:t>Si vous êtes en situation de handicap : pour anticiper et faciliter votre venue en formation, pour tout besoin d'aménagement spécifique ou pour toute question relative aux modalités d'accès des personnes en situation de handicap, merci de contacter notre référente handicap, Madame Stéphanie PERRIN au 02 99 83 08 71 ou sperrin@forom.bzh</w:t>
            </w:r>
          </w:p>
        </w:tc>
      </w:tr>
      <w:bookmarkEnd w:id="0"/>
    </w:tbl>
    <w:p w14:paraId="0155C0C4" w14:textId="4307ABCC" w:rsidR="00F2084D" w:rsidRPr="00F128D6" w:rsidRDefault="00F2084D" w:rsidP="00447C85">
      <w:pPr>
        <w:rPr>
          <w:rFonts w:ascii="Verdana" w:hAnsi="Verdana"/>
          <w:sz w:val="20"/>
        </w:rPr>
      </w:pPr>
    </w:p>
    <w:sectPr w:rsidR="00F2084D" w:rsidRPr="00F128D6" w:rsidSect="00086ECE">
      <w:headerReference w:type="even" r:id="rId8"/>
      <w:headerReference w:type="default" r:id="rId9"/>
      <w:footerReference w:type="even" r:id="rId10"/>
      <w:footerReference w:type="default" r:id="rId11"/>
      <w:headerReference w:type="first" r:id="rId12"/>
      <w:footerReference w:type="first" r:id="rId13"/>
      <w:pgSz w:w="11906" w:h="16838" w:code="9"/>
      <w:pgMar w:top="0" w:right="1133" w:bottom="284" w:left="1560" w:header="843" w:footer="162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377D" w14:textId="77777777" w:rsidR="00A1275B" w:rsidRDefault="00A1275B">
      <w:r>
        <w:separator/>
      </w:r>
    </w:p>
  </w:endnote>
  <w:endnote w:type="continuationSeparator" w:id="0">
    <w:p w14:paraId="3A51B6BE" w14:textId="77777777" w:rsidR="00A1275B" w:rsidRDefault="00A1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eurofurence  italic">
    <w:charset w:val="00"/>
    <w:family w:val="roman"/>
    <w:pitch w:val="default"/>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4D60" w14:textId="77777777" w:rsidR="00805D97" w:rsidRDefault="00805D9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1DDD" w14:textId="77777777" w:rsidR="00805D97" w:rsidRDefault="00805D9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7E61" w14:textId="77777777" w:rsidR="00805D97" w:rsidRDefault="00805D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7029" w14:textId="77777777" w:rsidR="00A1275B" w:rsidRDefault="00A1275B">
      <w:r>
        <w:separator/>
      </w:r>
    </w:p>
  </w:footnote>
  <w:footnote w:type="continuationSeparator" w:id="0">
    <w:p w14:paraId="7D3165A0" w14:textId="77777777" w:rsidR="00A1275B" w:rsidRDefault="00A12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3440" w14:textId="77777777" w:rsidR="00805D97" w:rsidRDefault="00805D9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4BED" w14:textId="77777777" w:rsidR="000006E4" w:rsidRPr="00DE426A" w:rsidRDefault="006F50CB" w:rsidP="00287BF4">
    <w:pPr>
      <w:pStyle w:val="En-tte"/>
      <w:tabs>
        <w:tab w:val="clear" w:pos="4536"/>
        <w:tab w:val="clear" w:pos="9072"/>
        <w:tab w:val="left" w:pos="948"/>
      </w:tabs>
      <w:ind w:left="-567"/>
    </w:pPr>
    <w:r w:rsidRPr="006F50CB">
      <w:rPr>
        <w:noProof/>
      </w:rPr>
      <w:drawing>
        <wp:anchor distT="0" distB="0" distL="114300" distR="114300" simplePos="0" relativeHeight="251660800" behindDoc="1" locked="0" layoutInCell="1" allowOverlap="1" wp14:anchorId="25EBC75E" wp14:editId="614C3118">
          <wp:simplePos x="0" y="0"/>
          <wp:positionH relativeFrom="column">
            <wp:posOffset>-752475</wp:posOffset>
          </wp:positionH>
          <wp:positionV relativeFrom="paragraph">
            <wp:posOffset>-401955</wp:posOffset>
          </wp:positionV>
          <wp:extent cx="1382863" cy="1102059"/>
          <wp:effectExtent l="0" t="0" r="8255" b="3175"/>
          <wp:wrapNone/>
          <wp:docPr id="276" name="Image 276" descr="\\SRV-DATA\Profils$\vbourdoiseau\Desktop\Logo 2015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DATA\Profils$\vbourdoiseau\Desktop\Logo 2015 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2863" cy="1102059"/>
                  </a:xfrm>
                  <a:prstGeom prst="rect">
                    <a:avLst/>
                  </a:prstGeom>
                  <a:noFill/>
                  <a:ln>
                    <a:noFill/>
                  </a:ln>
                </pic:spPr>
              </pic:pic>
            </a:graphicData>
          </a:graphic>
        </wp:anchor>
      </w:drawing>
    </w:r>
  </w:p>
  <w:p w14:paraId="559AB0B7" w14:textId="77777777" w:rsidR="000006E4" w:rsidRDefault="000006E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0851" w14:textId="502214BB" w:rsidR="000006E4" w:rsidRDefault="00805D97" w:rsidP="00805D97">
    <w:pPr>
      <w:pStyle w:val="En-tte"/>
      <w:tabs>
        <w:tab w:val="left" w:pos="401"/>
        <w:tab w:val="left" w:pos="5245"/>
      </w:tabs>
      <w:rPr>
        <w:rFonts w:ascii="Arial" w:hAnsi="Arial" w:cs="Arial"/>
        <w:lang w:val="en-GB"/>
      </w:rPr>
    </w:pPr>
    <w:r>
      <w:rPr>
        <w:noProof/>
      </w:rPr>
      <w:drawing>
        <wp:anchor distT="0" distB="0" distL="114300" distR="114300" simplePos="0" relativeHeight="251662848" behindDoc="1" locked="0" layoutInCell="1" allowOverlap="1" wp14:anchorId="46823947" wp14:editId="0C30C113">
          <wp:simplePos x="0" y="0"/>
          <wp:positionH relativeFrom="margin">
            <wp:posOffset>-732952</wp:posOffset>
          </wp:positionH>
          <wp:positionV relativeFrom="paragraph">
            <wp:posOffset>-358488</wp:posOffset>
          </wp:positionV>
          <wp:extent cx="1438583" cy="63149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FEC devient FOR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869" cy="636006"/>
                  </a:xfrm>
                  <a:prstGeom prst="rect">
                    <a:avLst/>
                  </a:prstGeom>
                </pic:spPr>
              </pic:pic>
            </a:graphicData>
          </a:graphic>
          <wp14:sizeRelH relativeFrom="page">
            <wp14:pctWidth>0</wp14:pctWidth>
          </wp14:sizeRelH>
          <wp14:sizeRelV relativeFrom="page">
            <wp14:pctHeight>0</wp14:pctHeight>
          </wp14:sizeRelV>
        </wp:anchor>
      </w:drawing>
    </w:r>
    <w:r w:rsidR="000006E4">
      <w:rPr>
        <w:rFonts w:ascii="Arial" w:hAnsi="Arial" w:cs="Arial"/>
        <w:lang w:val="en-GB"/>
      </w:rPr>
      <w:tab/>
    </w:r>
    <w:r w:rsidR="000006E4">
      <w:rPr>
        <w:rFonts w:ascii="Arial" w:hAnsi="Arial" w:cs="Arial"/>
        <w:lang w:val="en-GB"/>
      </w:rPr>
      <w:tab/>
    </w:r>
    <w:r w:rsidR="00F2084D">
      <w:rPr>
        <w:rFonts w:ascii="Arial" w:hAnsi="Arial" w:cs="Arial"/>
        <w:lang w:val="en-GB"/>
      </w:rPr>
      <w:t>FISCALITE</w:t>
    </w:r>
    <w:r w:rsidR="000006E4">
      <w:rPr>
        <w:rFonts w:ascii="Arial" w:hAnsi="Arial" w:cs="Arial"/>
        <w:lang w:val="en-GB"/>
      </w:rPr>
      <w:tab/>
    </w:r>
  </w:p>
  <w:p w14:paraId="3B96EBB6" w14:textId="77777777" w:rsidR="000006E4" w:rsidRPr="00CD03BF" w:rsidRDefault="000006E4" w:rsidP="00287BF4">
    <w:pPr>
      <w:pStyle w:val="En-tte"/>
      <w:jc w:val="right"/>
      <w:rPr>
        <w:rFonts w:ascii="Arial" w:hAnsi="Arial" w:cs="Arial"/>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D4546"/>
    <w:multiLevelType w:val="hybridMultilevel"/>
    <w:tmpl w:val="3EE67A7C"/>
    <w:lvl w:ilvl="0" w:tplc="E6D4EF70">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00C15"/>
    <w:multiLevelType w:val="hybridMultilevel"/>
    <w:tmpl w:val="B5F05808"/>
    <w:lvl w:ilvl="0" w:tplc="DD3E400E">
      <w:numFmt w:val="bullet"/>
      <w:lvlText w:val="-"/>
      <w:lvlJc w:val="left"/>
      <w:pPr>
        <w:ind w:left="720" w:hanging="360"/>
      </w:pPr>
      <w:rPr>
        <w:rFonts w:ascii="Verdana" w:eastAsiaTheme="minorEastAsia"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C4EB7"/>
    <w:multiLevelType w:val="hybridMultilevel"/>
    <w:tmpl w:val="6DD61A8A"/>
    <w:lvl w:ilvl="0" w:tplc="8A56A7AE">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ED5249"/>
    <w:multiLevelType w:val="hybridMultilevel"/>
    <w:tmpl w:val="05C0F4CA"/>
    <w:lvl w:ilvl="0" w:tplc="4E44E5E8">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DC6001"/>
    <w:multiLevelType w:val="hybridMultilevel"/>
    <w:tmpl w:val="A45A8FB8"/>
    <w:lvl w:ilvl="0" w:tplc="4E44E5E8">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3837654"/>
    <w:multiLevelType w:val="hybridMultilevel"/>
    <w:tmpl w:val="8EBE82BE"/>
    <w:lvl w:ilvl="0" w:tplc="988CC6D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412A1D"/>
    <w:multiLevelType w:val="hybridMultilevel"/>
    <w:tmpl w:val="A036E7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D73A6D"/>
    <w:multiLevelType w:val="hybridMultilevel"/>
    <w:tmpl w:val="78FE11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4A4F74"/>
    <w:multiLevelType w:val="hybridMultilevel"/>
    <w:tmpl w:val="CB12056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B716A6"/>
    <w:multiLevelType w:val="hybridMultilevel"/>
    <w:tmpl w:val="0C66F9C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AA544E"/>
    <w:multiLevelType w:val="hybridMultilevel"/>
    <w:tmpl w:val="ABDCA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4A048D"/>
    <w:multiLevelType w:val="hybridMultilevel"/>
    <w:tmpl w:val="0ED8EBCA"/>
    <w:lvl w:ilvl="0" w:tplc="89EA6818">
      <w:start w:val="1"/>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6"/>
  </w:num>
  <w:num w:numId="6">
    <w:abstractNumId w:val="7"/>
  </w:num>
  <w:num w:numId="7">
    <w:abstractNumId w:val="4"/>
  </w:num>
  <w:num w:numId="8">
    <w:abstractNumId w:val="10"/>
  </w:num>
  <w:num w:numId="9">
    <w:abstractNumId w:val="9"/>
  </w:num>
  <w:num w:numId="10">
    <w:abstractNumId w:val="5"/>
  </w:num>
  <w:num w:numId="11">
    <w:abstractNumId w:val="14"/>
  </w:num>
  <w:num w:numId="12">
    <w:abstractNumId w:val="13"/>
  </w:num>
  <w:num w:numId="13">
    <w:abstractNumId w:val="3"/>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F4"/>
    <w:rsid w:val="000006E4"/>
    <w:rsid w:val="00011540"/>
    <w:rsid w:val="0003703D"/>
    <w:rsid w:val="000439DA"/>
    <w:rsid w:val="000455A0"/>
    <w:rsid w:val="000625D3"/>
    <w:rsid w:val="00071908"/>
    <w:rsid w:val="00086ECE"/>
    <w:rsid w:val="000A5BBD"/>
    <w:rsid w:val="000A6F31"/>
    <w:rsid w:val="000D72FF"/>
    <w:rsid w:val="0010491D"/>
    <w:rsid w:val="0011206C"/>
    <w:rsid w:val="00113694"/>
    <w:rsid w:val="00123308"/>
    <w:rsid w:val="00123545"/>
    <w:rsid w:val="0013118D"/>
    <w:rsid w:val="00136759"/>
    <w:rsid w:val="001A1120"/>
    <w:rsid w:val="001D1668"/>
    <w:rsid w:val="00203874"/>
    <w:rsid w:val="00231764"/>
    <w:rsid w:val="002371DB"/>
    <w:rsid w:val="00260392"/>
    <w:rsid w:val="002609EF"/>
    <w:rsid w:val="00262046"/>
    <w:rsid w:val="0026268A"/>
    <w:rsid w:val="002700FF"/>
    <w:rsid w:val="00287BF4"/>
    <w:rsid w:val="0029320E"/>
    <w:rsid w:val="002B2500"/>
    <w:rsid w:val="002B3BE7"/>
    <w:rsid w:val="002B65C2"/>
    <w:rsid w:val="002C02DA"/>
    <w:rsid w:val="002D2B8F"/>
    <w:rsid w:val="002D7850"/>
    <w:rsid w:val="002E21E4"/>
    <w:rsid w:val="002E48F2"/>
    <w:rsid w:val="002E5DE7"/>
    <w:rsid w:val="002F02F1"/>
    <w:rsid w:val="00301ECA"/>
    <w:rsid w:val="00311970"/>
    <w:rsid w:val="003163A5"/>
    <w:rsid w:val="00317E44"/>
    <w:rsid w:val="00341E1B"/>
    <w:rsid w:val="00395651"/>
    <w:rsid w:val="00397366"/>
    <w:rsid w:val="003B64E4"/>
    <w:rsid w:val="004067CB"/>
    <w:rsid w:val="00437E82"/>
    <w:rsid w:val="004404A3"/>
    <w:rsid w:val="00447C85"/>
    <w:rsid w:val="0045629E"/>
    <w:rsid w:val="004768D3"/>
    <w:rsid w:val="00483190"/>
    <w:rsid w:val="00483F3E"/>
    <w:rsid w:val="00487CC1"/>
    <w:rsid w:val="004A0B9F"/>
    <w:rsid w:val="004A2534"/>
    <w:rsid w:val="004A66B5"/>
    <w:rsid w:val="004C062E"/>
    <w:rsid w:val="004D66DA"/>
    <w:rsid w:val="00526AD3"/>
    <w:rsid w:val="005504CE"/>
    <w:rsid w:val="0055066B"/>
    <w:rsid w:val="0055251E"/>
    <w:rsid w:val="00552B84"/>
    <w:rsid w:val="005557A5"/>
    <w:rsid w:val="005558E5"/>
    <w:rsid w:val="00583970"/>
    <w:rsid w:val="005C74A8"/>
    <w:rsid w:val="005D58D0"/>
    <w:rsid w:val="005F463E"/>
    <w:rsid w:val="00602244"/>
    <w:rsid w:val="00622554"/>
    <w:rsid w:val="00632F7F"/>
    <w:rsid w:val="0063570B"/>
    <w:rsid w:val="00643807"/>
    <w:rsid w:val="006646E2"/>
    <w:rsid w:val="0068025F"/>
    <w:rsid w:val="0069418E"/>
    <w:rsid w:val="006B532E"/>
    <w:rsid w:val="006C6962"/>
    <w:rsid w:val="006D1AB6"/>
    <w:rsid w:val="006F2750"/>
    <w:rsid w:val="006F309B"/>
    <w:rsid w:val="006F50CB"/>
    <w:rsid w:val="006F6655"/>
    <w:rsid w:val="00711750"/>
    <w:rsid w:val="007148D3"/>
    <w:rsid w:val="0072265B"/>
    <w:rsid w:val="0072771A"/>
    <w:rsid w:val="0073108B"/>
    <w:rsid w:val="007469E9"/>
    <w:rsid w:val="00756ADE"/>
    <w:rsid w:val="007758A9"/>
    <w:rsid w:val="0077718A"/>
    <w:rsid w:val="00780F30"/>
    <w:rsid w:val="00781252"/>
    <w:rsid w:val="00796B39"/>
    <w:rsid w:val="007A45C4"/>
    <w:rsid w:val="007A4996"/>
    <w:rsid w:val="007A69A9"/>
    <w:rsid w:val="007A6F25"/>
    <w:rsid w:val="007C08ED"/>
    <w:rsid w:val="007E359C"/>
    <w:rsid w:val="007E47D1"/>
    <w:rsid w:val="007F0E20"/>
    <w:rsid w:val="007F7066"/>
    <w:rsid w:val="007F79CB"/>
    <w:rsid w:val="00800BAC"/>
    <w:rsid w:val="00805D97"/>
    <w:rsid w:val="0081016B"/>
    <w:rsid w:val="0081585C"/>
    <w:rsid w:val="0082103E"/>
    <w:rsid w:val="008227E4"/>
    <w:rsid w:val="0082374A"/>
    <w:rsid w:val="008302B5"/>
    <w:rsid w:val="00840CBA"/>
    <w:rsid w:val="00844D4D"/>
    <w:rsid w:val="008479C6"/>
    <w:rsid w:val="00881070"/>
    <w:rsid w:val="008B537F"/>
    <w:rsid w:val="008D0AA7"/>
    <w:rsid w:val="008D4CC7"/>
    <w:rsid w:val="008D7DF9"/>
    <w:rsid w:val="008E0722"/>
    <w:rsid w:val="008E1903"/>
    <w:rsid w:val="00904CFD"/>
    <w:rsid w:val="00915D9D"/>
    <w:rsid w:val="0093680C"/>
    <w:rsid w:val="00962E51"/>
    <w:rsid w:val="00966138"/>
    <w:rsid w:val="00967516"/>
    <w:rsid w:val="00972587"/>
    <w:rsid w:val="009877AF"/>
    <w:rsid w:val="009A3559"/>
    <w:rsid w:val="009A3D52"/>
    <w:rsid w:val="009A5E7C"/>
    <w:rsid w:val="009A75B9"/>
    <w:rsid w:val="009C15DF"/>
    <w:rsid w:val="009C2AEB"/>
    <w:rsid w:val="009C38E1"/>
    <w:rsid w:val="009D3511"/>
    <w:rsid w:val="009D5DFF"/>
    <w:rsid w:val="009E0AB3"/>
    <w:rsid w:val="009E45DE"/>
    <w:rsid w:val="009E4E12"/>
    <w:rsid w:val="009E5A9F"/>
    <w:rsid w:val="009F0854"/>
    <w:rsid w:val="00A1275B"/>
    <w:rsid w:val="00A2553E"/>
    <w:rsid w:val="00A27CEF"/>
    <w:rsid w:val="00A310CA"/>
    <w:rsid w:val="00A47C2A"/>
    <w:rsid w:val="00A553EF"/>
    <w:rsid w:val="00A57522"/>
    <w:rsid w:val="00A62C74"/>
    <w:rsid w:val="00A861E4"/>
    <w:rsid w:val="00AD41CE"/>
    <w:rsid w:val="00AF050A"/>
    <w:rsid w:val="00AF34D6"/>
    <w:rsid w:val="00AF5F22"/>
    <w:rsid w:val="00B00502"/>
    <w:rsid w:val="00B0457D"/>
    <w:rsid w:val="00B04ED7"/>
    <w:rsid w:val="00B13DD2"/>
    <w:rsid w:val="00B14DAC"/>
    <w:rsid w:val="00B428C3"/>
    <w:rsid w:val="00B46242"/>
    <w:rsid w:val="00B534B5"/>
    <w:rsid w:val="00B70A60"/>
    <w:rsid w:val="00BA37BE"/>
    <w:rsid w:val="00BA6E65"/>
    <w:rsid w:val="00BB13F2"/>
    <w:rsid w:val="00BC2FB7"/>
    <w:rsid w:val="00BD7C6D"/>
    <w:rsid w:val="00BE2A53"/>
    <w:rsid w:val="00C047CA"/>
    <w:rsid w:val="00C1278A"/>
    <w:rsid w:val="00C40564"/>
    <w:rsid w:val="00C43535"/>
    <w:rsid w:val="00C43C12"/>
    <w:rsid w:val="00C43F8E"/>
    <w:rsid w:val="00C51883"/>
    <w:rsid w:val="00C53D22"/>
    <w:rsid w:val="00C93C58"/>
    <w:rsid w:val="00C951AD"/>
    <w:rsid w:val="00CC3CB8"/>
    <w:rsid w:val="00CF2B88"/>
    <w:rsid w:val="00D16868"/>
    <w:rsid w:val="00D507F2"/>
    <w:rsid w:val="00D63198"/>
    <w:rsid w:val="00D707CA"/>
    <w:rsid w:val="00D86FA1"/>
    <w:rsid w:val="00D90227"/>
    <w:rsid w:val="00DA2AD8"/>
    <w:rsid w:val="00E06395"/>
    <w:rsid w:val="00E17FBB"/>
    <w:rsid w:val="00E35421"/>
    <w:rsid w:val="00E54EA4"/>
    <w:rsid w:val="00E770F0"/>
    <w:rsid w:val="00E80B62"/>
    <w:rsid w:val="00E9042C"/>
    <w:rsid w:val="00ED17D3"/>
    <w:rsid w:val="00EE026F"/>
    <w:rsid w:val="00F06990"/>
    <w:rsid w:val="00F128D6"/>
    <w:rsid w:val="00F2084D"/>
    <w:rsid w:val="00F2573F"/>
    <w:rsid w:val="00F32675"/>
    <w:rsid w:val="00F34762"/>
    <w:rsid w:val="00F40A0A"/>
    <w:rsid w:val="00F45679"/>
    <w:rsid w:val="00F47297"/>
    <w:rsid w:val="00F543A4"/>
    <w:rsid w:val="00F74E70"/>
    <w:rsid w:val="00F94363"/>
    <w:rsid w:val="00FC6788"/>
    <w:rsid w:val="00FD0C11"/>
    <w:rsid w:val="00FD1936"/>
    <w:rsid w:val="00FE4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67D358A"/>
  <w15:docId w15:val="{D54B3E69-CE9D-43FC-AC15-2DB20891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F4"/>
    <w:rPr>
      <w:rFonts w:ascii="Comic Sans MS" w:eastAsia="Times New Roman" w:hAnsi="Comic Sans MS"/>
      <w:sz w:val="24"/>
    </w:rPr>
  </w:style>
  <w:style w:type="paragraph" w:styleId="Titre1">
    <w:name w:val="heading 1"/>
    <w:basedOn w:val="Normal"/>
    <w:next w:val="Normal"/>
    <w:link w:val="Titre1Car"/>
    <w:qFormat/>
    <w:rsid w:val="00B0457D"/>
    <w:pPr>
      <w:keepNext/>
      <w:tabs>
        <w:tab w:val="right" w:leader="dot" w:pos="8505"/>
      </w:tabs>
      <w:jc w:val="both"/>
      <w:outlineLvl w:val="0"/>
    </w:pPr>
    <w:rPr>
      <w:rFonts w:ascii="Times New Roman" w:hAnsi="Times New Roman"/>
      <w:b/>
      <w:bCs/>
      <w:sz w:val="22"/>
      <w:szCs w:val="22"/>
    </w:rPr>
  </w:style>
  <w:style w:type="paragraph" w:styleId="Titre2">
    <w:name w:val="heading 2"/>
    <w:basedOn w:val="Normal"/>
    <w:next w:val="Normal"/>
    <w:link w:val="Titre2Car"/>
    <w:qFormat/>
    <w:rsid w:val="00B0457D"/>
    <w:pPr>
      <w:keepNext/>
      <w:tabs>
        <w:tab w:val="left" w:pos="567"/>
        <w:tab w:val="left" w:pos="1985"/>
        <w:tab w:val="right" w:leader="dot" w:pos="2977"/>
        <w:tab w:val="left" w:pos="3119"/>
        <w:tab w:val="left" w:pos="4678"/>
        <w:tab w:val="right" w:leader="dot" w:pos="5529"/>
        <w:tab w:val="left" w:pos="5670"/>
        <w:tab w:val="left" w:leader="dot" w:pos="6379"/>
        <w:tab w:val="right" w:leader="dot" w:pos="6663"/>
        <w:tab w:val="left" w:pos="6804"/>
        <w:tab w:val="right" w:leader="dot" w:pos="8222"/>
        <w:tab w:val="left" w:pos="8364"/>
        <w:tab w:val="right" w:pos="8505"/>
      </w:tabs>
      <w:jc w:val="center"/>
      <w:outlineLvl w:val="1"/>
    </w:pPr>
    <w:rPr>
      <w:rFonts w:ascii="Times New Roman" w:hAnsi="Times New Roman"/>
      <w:b/>
      <w:bCs/>
      <w:sz w:val="22"/>
      <w:szCs w:val="22"/>
    </w:rPr>
  </w:style>
  <w:style w:type="paragraph" w:styleId="Titre4">
    <w:name w:val="heading 4"/>
    <w:basedOn w:val="Normal"/>
    <w:next w:val="Normal"/>
    <w:link w:val="Titre4Car"/>
    <w:uiPriority w:val="9"/>
    <w:semiHidden/>
    <w:unhideWhenUsed/>
    <w:qFormat/>
    <w:rsid w:val="00086ECE"/>
    <w:pPr>
      <w:keepNext/>
      <w:keepLines/>
      <w:spacing w:before="4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CC3CB8"/>
    <w:p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CC3CB8"/>
    <w:pPr>
      <w:spacing w:before="240" w:after="60"/>
      <w:outlineLvl w:val="6"/>
    </w:pPr>
    <w:rPr>
      <w:rFonts w:ascii="Calibri" w:hAnsi="Calibr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87BF4"/>
    <w:pPr>
      <w:tabs>
        <w:tab w:val="center" w:pos="4536"/>
        <w:tab w:val="right" w:pos="9072"/>
      </w:tabs>
    </w:pPr>
  </w:style>
  <w:style w:type="character" w:customStyle="1" w:styleId="En-tteCar">
    <w:name w:val="En-tête Car"/>
    <w:link w:val="En-tte"/>
    <w:rsid w:val="00287BF4"/>
    <w:rPr>
      <w:rFonts w:ascii="Comic Sans MS" w:eastAsia="Times New Roman" w:hAnsi="Comic Sans MS" w:cs="Times New Roman"/>
      <w:sz w:val="24"/>
      <w:szCs w:val="20"/>
      <w:lang w:eastAsia="fr-FR"/>
    </w:rPr>
  </w:style>
  <w:style w:type="paragraph" w:styleId="Pieddepage">
    <w:name w:val="footer"/>
    <w:basedOn w:val="Normal"/>
    <w:link w:val="PieddepageCar"/>
    <w:uiPriority w:val="99"/>
    <w:rsid w:val="00287BF4"/>
    <w:pPr>
      <w:tabs>
        <w:tab w:val="center" w:pos="4536"/>
        <w:tab w:val="right" w:pos="9072"/>
      </w:tabs>
    </w:pPr>
  </w:style>
  <w:style w:type="character" w:customStyle="1" w:styleId="PieddepageCar">
    <w:name w:val="Pied de page Car"/>
    <w:link w:val="Pieddepage"/>
    <w:uiPriority w:val="99"/>
    <w:rsid w:val="00287BF4"/>
    <w:rPr>
      <w:rFonts w:ascii="Comic Sans MS" w:eastAsia="Times New Roman" w:hAnsi="Comic Sans MS" w:cs="Times New Roman"/>
      <w:sz w:val="24"/>
      <w:szCs w:val="20"/>
      <w:lang w:eastAsia="fr-FR"/>
    </w:rPr>
  </w:style>
  <w:style w:type="paragraph" w:customStyle="1" w:styleId="titreniveau4">
    <w:name w:val="titre niveau 4"/>
    <w:rsid w:val="00287BF4"/>
    <w:pPr>
      <w:keepNext/>
      <w:spacing w:before="200" w:after="120" w:line="288" w:lineRule="auto"/>
      <w:outlineLvl w:val="1"/>
    </w:pPr>
    <w:rPr>
      <w:rFonts w:ascii="eurofurence  italic" w:eastAsia="ヒラギノ角ゴ Pro W3" w:hAnsi="eurofurence  italic"/>
      <w:color w:val="274A8A"/>
      <w:sz w:val="28"/>
      <w:u w:color="274A8A"/>
    </w:rPr>
  </w:style>
  <w:style w:type="paragraph" w:customStyle="1" w:styleId="Corps">
    <w:name w:val="Corps"/>
    <w:rsid w:val="00287BF4"/>
    <w:pPr>
      <w:jc w:val="both"/>
    </w:pPr>
    <w:rPr>
      <w:rFonts w:ascii="Helvetica" w:eastAsia="ヒラギノ角ゴ Pro W3" w:hAnsi="Helvetica"/>
      <w:color w:val="000000"/>
      <w:sz w:val="22"/>
    </w:rPr>
  </w:style>
  <w:style w:type="paragraph" w:customStyle="1" w:styleId="Listepuces21">
    <w:name w:val="Liste à puces 21"/>
    <w:rsid w:val="00287BF4"/>
    <w:pPr>
      <w:tabs>
        <w:tab w:val="left" w:pos="927"/>
      </w:tabs>
      <w:spacing w:before="120" w:after="120"/>
      <w:jc w:val="both"/>
    </w:pPr>
    <w:rPr>
      <w:rFonts w:ascii="Arial" w:eastAsia="ヒラギノ角ゴ Pro W3" w:hAnsi="Arial"/>
      <w:color w:val="000000"/>
      <w:sz w:val="22"/>
    </w:rPr>
  </w:style>
  <w:style w:type="paragraph" w:styleId="Textedebulles">
    <w:name w:val="Balloon Text"/>
    <w:basedOn w:val="Normal"/>
    <w:link w:val="TextedebullesCar"/>
    <w:uiPriority w:val="99"/>
    <w:semiHidden/>
    <w:unhideWhenUsed/>
    <w:rsid w:val="00AD41CE"/>
    <w:rPr>
      <w:rFonts w:ascii="Tahoma" w:hAnsi="Tahoma" w:cs="Tahoma"/>
      <w:sz w:val="16"/>
      <w:szCs w:val="16"/>
    </w:rPr>
  </w:style>
  <w:style w:type="character" w:customStyle="1" w:styleId="TextedebullesCar">
    <w:name w:val="Texte de bulles Car"/>
    <w:link w:val="Textedebulles"/>
    <w:uiPriority w:val="99"/>
    <w:semiHidden/>
    <w:rsid w:val="00AD41CE"/>
    <w:rPr>
      <w:rFonts w:ascii="Tahoma" w:eastAsia="Times New Roman" w:hAnsi="Tahoma" w:cs="Tahoma"/>
      <w:sz w:val="16"/>
      <w:szCs w:val="16"/>
    </w:rPr>
  </w:style>
  <w:style w:type="table" w:styleId="Grilledutableau">
    <w:name w:val="Table Grid"/>
    <w:basedOn w:val="TableauNormal"/>
    <w:uiPriority w:val="59"/>
    <w:rsid w:val="00B0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0439DA"/>
    <w:rPr>
      <w:i/>
    </w:rPr>
  </w:style>
  <w:style w:type="character" w:customStyle="1" w:styleId="Titre1Car">
    <w:name w:val="Titre 1 Car"/>
    <w:link w:val="Titre1"/>
    <w:rsid w:val="00B0457D"/>
    <w:rPr>
      <w:rFonts w:ascii="Times New Roman" w:eastAsia="Times New Roman" w:hAnsi="Times New Roman"/>
      <w:b/>
      <w:bCs/>
      <w:sz w:val="22"/>
      <w:szCs w:val="22"/>
    </w:rPr>
  </w:style>
  <w:style w:type="character" w:customStyle="1" w:styleId="Titre2Car">
    <w:name w:val="Titre 2 Car"/>
    <w:link w:val="Titre2"/>
    <w:rsid w:val="00B0457D"/>
    <w:rPr>
      <w:rFonts w:ascii="Times New Roman" w:eastAsia="Times New Roman" w:hAnsi="Times New Roman"/>
      <w:b/>
      <w:bCs/>
      <w:sz w:val="22"/>
      <w:szCs w:val="22"/>
    </w:rPr>
  </w:style>
  <w:style w:type="character" w:customStyle="1" w:styleId="Titre6Car">
    <w:name w:val="Titre 6 Car"/>
    <w:link w:val="Titre6"/>
    <w:uiPriority w:val="9"/>
    <w:semiHidden/>
    <w:rsid w:val="00CC3CB8"/>
    <w:rPr>
      <w:rFonts w:ascii="Calibri" w:eastAsia="Times New Roman" w:hAnsi="Calibri" w:cs="Times New Roman"/>
      <w:b/>
      <w:bCs/>
      <w:sz w:val="22"/>
      <w:szCs w:val="22"/>
    </w:rPr>
  </w:style>
  <w:style w:type="character" w:customStyle="1" w:styleId="Titre7Car">
    <w:name w:val="Titre 7 Car"/>
    <w:link w:val="Titre7"/>
    <w:uiPriority w:val="9"/>
    <w:semiHidden/>
    <w:rsid w:val="00CC3CB8"/>
    <w:rPr>
      <w:rFonts w:ascii="Calibri" w:eastAsia="Times New Roman" w:hAnsi="Calibri" w:cs="Times New Roman"/>
      <w:sz w:val="24"/>
      <w:szCs w:val="24"/>
    </w:rPr>
  </w:style>
  <w:style w:type="paragraph" w:styleId="Corpsdetexte">
    <w:name w:val="Body Text"/>
    <w:basedOn w:val="Normal"/>
    <w:link w:val="CorpsdetexteCar"/>
    <w:rsid w:val="00CC3CB8"/>
    <w:pPr>
      <w:tabs>
        <w:tab w:val="right" w:pos="8505"/>
      </w:tabs>
      <w:jc w:val="both"/>
    </w:pPr>
    <w:rPr>
      <w:rFonts w:ascii="Times New Roman" w:hAnsi="Times New Roman"/>
      <w:sz w:val="20"/>
    </w:rPr>
  </w:style>
  <w:style w:type="character" w:customStyle="1" w:styleId="CorpsdetexteCar">
    <w:name w:val="Corps de texte Car"/>
    <w:link w:val="Corpsdetexte"/>
    <w:rsid w:val="00CC3CB8"/>
    <w:rPr>
      <w:rFonts w:ascii="Times New Roman" w:eastAsia="Times New Roman" w:hAnsi="Times New Roman"/>
    </w:rPr>
  </w:style>
  <w:style w:type="paragraph" w:styleId="Retraitcorpsdetexte">
    <w:name w:val="Body Text Indent"/>
    <w:basedOn w:val="Normal"/>
    <w:link w:val="RetraitcorpsdetexteCar"/>
    <w:rsid w:val="00CC3CB8"/>
    <w:pPr>
      <w:tabs>
        <w:tab w:val="left" w:pos="567"/>
        <w:tab w:val="left" w:pos="1985"/>
        <w:tab w:val="right" w:leader="dot" w:pos="2977"/>
        <w:tab w:val="left" w:pos="3119"/>
        <w:tab w:val="left" w:pos="4678"/>
        <w:tab w:val="right" w:leader="dot" w:pos="5529"/>
        <w:tab w:val="left" w:pos="5670"/>
        <w:tab w:val="left" w:leader="dot" w:pos="6379"/>
        <w:tab w:val="right" w:leader="dot" w:pos="6663"/>
        <w:tab w:val="left" w:pos="6804"/>
        <w:tab w:val="right" w:leader="dot" w:pos="8222"/>
        <w:tab w:val="left" w:pos="8364"/>
        <w:tab w:val="right" w:pos="8505"/>
      </w:tabs>
      <w:ind w:left="426"/>
      <w:jc w:val="both"/>
    </w:pPr>
    <w:rPr>
      <w:rFonts w:ascii="Times New Roman" w:hAnsi="Times New Roman"/>
      <w:sz w:val="18"/>
    </w:rPr>
  </w:style>
  <w:style w:type="character" w:customStyle="1" w:styleId="RetraitcorpsdetexteCar">
    <w:name w:val="Retrait corps de texte Car"/>
    <w:link w:val="Retraitcorpsdetexte"/>
    <w:rsid w:val="00CC3CB8"/>
    <w:rPr>
      <w:rFonts w:ascii="Times New Roman" w:eastAsia="Times New Roman" w:hAnsi="Times New Roman"/>
      <w:sz w:val="18"/>
    </w:rPr>
  </w:style>
  <w:style w:type="character" w:customStyle="1" w:styleId="tx">
    <w:name w:val="tx"/>
    <w:rsid w:val="00BB13F2"/>
  </w:style>
  <w:style w:type="paragraph" w:styleId="NormalWeb">
    <w:name w:val="Normal (Web)"/>
    <w:basedOn w:val="Normal"/>
    <w:uiPriority w:val="99"/>
    <w:unhideWhenUsed/>
    <w:rsid w:val="00071908"/>
    <w:pPr>
      <w:spacing w:before="100" w:beforeAutospacing="1" w:after="100" w:afterAutospacing="1"/>
    </w:pPr>
    <w:rPr>
      <w:rFonts w:ascii="Times New Roman" w:eastAsiaTheme="minorEastAsia" w:hAnsi="Times New Roman"/>
      <w:szCs w:val="24"/>
    </w:rPr>
  </w:style>
  <w:style w:type="character" w:customStyle="1" w:styleId="Titre4Car">
    <w:name w:val="Titre 4 Car"/>
    <w:basedOn w:val="Policepardfaut"/>
    <w:link w:val="Titre4"/>
    <w:uiPriority w:val="9"/>
    <w:semiHidden/>
    <w:rsid w:val="00086ECE"/>
    <w:rPr>
      <w:rFonts w:asciiTheme="majorHAnsi" w:eastAsiaTheme="majorEastAsia" w:hAnsiTheme="majorHAnsi" w:cstheme="majorBidi"/>
      <w:i/>
      <w:iCs/>
      <w:color w:val="2E74B5" w:themeColor="accent1" w:themeShade="BF"/>
      <w:sz w:val="24"/>
    </w:rPr>
  </w:style>
  <w:style w:type="paragraph" w:styleId="Paragraphedeliste">
    <w:name w:val="List Paragraph"/>
    <w:basedOn w:val="Normal"/>
    <w:uiPriority w:val="34"/>
    <w:qFormat/>
    <w:rsid w:val="00F20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365">
      <w:bodyDiv w:val="1"/>
      <w:marLeft w:val="0"/>
      <w:marRight w:val="0"/>
      <w:marTop w:val="0"/>
      <w:marBottom w:val="0"/>
      <w:divBdr>
        <w:top w:val="none" w:sz="0" w:space="0" w:color="auto"/>
        <w:left w:val="none" w:sz="0" w:space="0" w:color="auto"/>
        <w:bottom w:val="none" w:sz="0" w:space="0" w:color="auto"/>
        <w:right w:val="none" w:sz="0" w:space="0" w:color="auto"/>
      </w:divBdr>
    </w:div>
    <w:div w:id="35938217">
      <w:bodyDiv w:val="1"/>
      <w:marLeft w:val="0"/>
      <w:marRight w:val="0"/>
      <w:marTop w:val="0"/>
      <w:marBottom w:val="0"/>
      <w:divBdr>
        <w:top w:val="none" w:sz="0" w:space="0" w:color="auto"/>
        <w:left w:val="none" w:sz="0" w:space="0" w:color="auto"/>
        <w:bottom w:val="none" w:sz="0" w:space="0" w:color="auto"/>
        <w:right w:val="none" w:sz="0" w:space="0" w:color="auto"/>
      </w:divBdr>
    </w:div>
    <w:div w:id="42413635">
      <w:bodyDiv w:val="1"/>
      <w:marLeft w:val="0"/>
      <w:marRight w:val="0"/>
      <w:marTop w:val="0"/>
      <w:marBottom w:val="0"/>
      <w:divBdr>
        <w:top w:val="none" w:sz="0" w:space="0" w:color="auto"/>
        <w:left w:val="none" w:sz="0" w:space="0" w:color="auto"/>
        <w:bottom w:val="none" w:sz="0" w:space="0" w:color="auto"/>
        <w:right w:val="none" w:sz="0" w:space="0" w:color="auto"/>
      </w:divBdr>
    </w:div>
    <w:div w:id="277643214">
      <w:bodyDiv w:val="1"/>
      <w:marLeft w:val="0"/>
      <w:marRight w:val="0"/>
      <w:marTop w:val="0"/>
      <w:marBottom w:val="0"/>
      <w:divBdr>
        <w:top w:val="none" w:sz="0" w:space="0" w:color="auto"/>
        <w:left w:val="none" w:sz="0" w:space="0" w:color="auto"/>
        <w:bottom w:val="none" w:sz="0" w:space="0" w:color="auto"/>
        <w:right w:val="none" w:sz="0" w:space="0" w:color="auto"/>
      </w:divBdr>
      <w:divsChild>
        <w:div w:id="7341548">
          <w:marLeft w:val="0"/>
          <w:marRight w:val="0"/>
          <w:marTop w:val="0"/>
          <w:marBottom w:val="0"/>
          <w:divBdr>
            <w:top w:val="none" w:sz="0" w:space="0" w:color="auto"/>
            <w:left w:val="none" w:sz="0" w:space="0" w:color="auto"/>
            <w:bottom w:val="none" w:sz="0" w:space="0" w:color="auto"/>
            <w:right w:val="none" w:sz="0" w:space="0" w:color="auto"/>
          </w:divBdr>
        </w:div>
        <w:div w:id="148982894">
          <w:marLeft w:val="0"/>
          <w:marRight w:val="0"/>
          <w:marTop w:val="0"/>
          <w:marBottom w:val="0"/>
          <w:divBdr>
            <w:top w:val="none" w:sz="0" w:space="0" w:color="auto"/>
            <w:left w:val="none" w:sz="0" w:space="0" w:color="auto"/>
            <w:bottom w:val="none" w:sz="0" w:space="0" w:color="auto"/>
            <w:right w:val="none" w:sz="0" w:space="0" w:color="auto"/>
          </w:divBdr>
        </w:div>
        <w:div w:id="240407928">
          <w:marLeft w:val="0"/>
          <w:marRight w:val="0"/>
          <w:marTop w:val="0"/>
          <w:marBottom w:val="0"/>
          <w:divBdr>
            <w:top w:val="none" w:sz="0" w:space="0" w:color="auto"/>
            <w:left w:val="none" w:sz="0" w:space="0" w:color="auto"/>
            <w:bottom w:val="none" w:sz="0" w:space="0" w:color="auto"/>
            <w:right w:val="none" w:sz="0" w:space="0" w:color="auto"/>
          </w:divBdr>
        </w:div>
        <w:div w:id="314072989">
          <w:marLeft w:val="0"/>
          <w:marRight w:val="0"/>
          <w:marTop w:val="0"/>
          <w:marBottom w:val="0"/>
          <w:divBdr>
            <w:top w:val="none" w:sz="0" w:space="0" w:color="auto"/>
            <w:left w:val="none" w:sz="0" w:space="0" w:color="auto"/>
            <w:bottom w:val="none" w:sz="0" w:space="0" w:color="auto"/>
            <w:right w:val="none" w:sz="0" w:space="0" w:color="auto"/>
          </w:divBdr>
        </w:div>
        <w:div w:id="403919349">
          <w:marLeft w:val="0"/>
          <w:marRight w:val="0"/>
          <w:marTop w:val="0"/>
          <w:marBottom w:val="0"/>
          <w:divBdr>
            <w:top w:val="none" w:sz="0" w:space="0" w:color="auto"/>
            <w:left w:val="none" w:sz="0" w:space="0" w:color="auto"/>
            <w:bottom w:val="none" w:sz="0" w:space="0" w:color="auto"/>
            <w:right w:val="none" w:sz="0" w:space="0" w:color="auto"/>
          </w:divBdr>
        </w:div>
        <w:div w:id="471751653">
          <w:marLeft w:val="0"/>
          <w:marRight w:val="0"/>
          <w:marTop w:val="0"/>
          <w:marBottom w:val="0"/>
          <w:divBdr>
            <w:top w:val="none" w:sz="0" w:space="0" w:color="auto"/>
            <w:left w:val="none" w:sz="0" w:space="0" w:color="auto"/>
            <w:bottom w:val="none" w:sz="0" w:space="0" w:color="auto"/>
            <w:right w:val="none" w:sz="0" w:space="0" w:color="auto"/>
          </w:divBdr>
        </w:div>
        <w:div w:id="520440484">
          <w:marLeft w:val="0"/>
          <w:marRight w:val="0"/>
          <w:marTop w:val="0"/>
          <w:marBottom w:val="0"/>
          <w:divBdr>
            <w:top w:val="none" w:sz="0" w:space="0" w:color="auto"/>
            <w:left w:val="none" w:sz="0" w:space="0" w:color="auto"/>
            <w:bottom w:val="none" w:sz="0" w:space="0" w:color="auto"/>
            <w:right w:val="none" w:sz="0" w:space="0" w:color="auto"/>
          </w:divBdr>
        </w:div>
        <w:div w:id="599726558">
          <w:marLeft w:val="0"/>
          <w:marRight w:val="0"/>
          <w:marTop w:val="0"/>
          <w:marBottom w:val="0"/>
          <w:divBdr>
            <w:top w:val="none" w:sz="0" w:space="0" w:color="auto"/>
            <w:left w:val="none" w:sz="0" w:space="0" w:color="auto"/>
            <w:bottom w:val="none" w:sz="0" w:space="0" w:color="auto"/>
            <w:right w:val="none" w:sz="0" w:space="0" w:color="auto"/>
          </w:divBdr>
        </w:div>
        <w:div w:id="803473948">
          <w:marLeft w:val="0"/>
          <w:marRight w:val="0"/>
          <w:marTop w:val="0"/>
          <w:marBottom w:val="0"/>
          <w:divBdr>
            <w:top w:val="none" w:sz="0" w:space="0" w:color="auto"/>
            <w:left w:val="none" w:sz="0" w:space="0" w:color="auto"/>
            <w:bottom w:val="none" w:sz="0" w:space="0" w:color="auto"/>
            <w:right w:val="none" w:sz="0" w:space="0" w:color="auto"/>
          </w:divBdr>
        </w:div>
        <w:div w:id="839275750">
          <w:marLeft w:val="0"/>
          <w:marRight w:val="0"/>
          <w:marTop w:val="0"/>
          <w:marBottom w:val="0"/>
          <w:divBdr>
            <w:top w:val="none" w:sz="0" w:space="0" w:color="auto"/>
            <w:left w:val="none" w:sz="0" w:space="0" w:color="auto"/>
            <w:bottom w:val="none" w:sz="0" w:space="0" w:color="auto"/>
            <w:right w:val="none" w:sz="0" w:space="0" w:color="auto"/>
          </w:divBdr>
        </w:div>
        <w:div w:id="891423551">
          <w:marLeft w:val="0"/>
          <w:marRight w:val="0"/>
          <w:marTop w:val="0"/>
          <w:marBottom w:val="0"/>
          <w:divBdr>
            <w:top w:val="none" w:sz="0" w:space="0" w:color="auto"/>
            <w:left w:val="none" w:sz="0" w:space="0" w:color="auto"/>
            <w:bottom w:val="none" w:sz="0" w:space="0" w:color="auto"/>
            <w:right w:val="none" w:sz="0" w:space="0" w:color="auto"/>
          </w:divBdr>
        </w:div>
        <w:div w:id="1019702934">
          <w:marLeft w:val="0"/>
          <w:marRight w:val="0"/>
          <w:marTop w:val="0"/>
          <w:marBottom w:val="0"/>
          <w:divBdr>
            <w:top w:val="none" w:sz="0" w:space="0" w:color="auto"/>
            <w:left w:val="none" w:sz="0" w:space="0" w:color="auto"/>
            <w:bottom w:val="none" w:sz="0" w:space="0" w:color="auto"/>
            <w:right w:val="none" w:sz="0" w:space="0" w:color="auto"/>
          </w:divBdr>
        </w:div>
        <w:div w:id="1321957250">
          <w:marLeft w:val="0"/>
          <w:marRight w:val="0"/>
          <w:marTop w:val="0"/>
          <w:marBottom w:val="0"/>
          <w:divBdr>
            <w:top w:val="none" w:sz="0" w:space="0" w:color="auto"/>
            <w:left w:val="none" w:sz="0" w:space="0" w:color="auto"/>
            <w:bottom w:val="none" w:sz="0" w:space="0" w:color="auto"/>
            <w:right w:val="none" w:sz="0" w:space="0" w:color="auto"/>
          </w:divBdr>
        </w:div>
        <w:div w:id="1364208557">
          <w:marLeft w:val="0"/>
          <w:marRight w:val="0"/>
          <w:marTop w:val="0"/>
          <w:marBottom w:val="0"/>
          <w:divBdr>
            <w:top w:val="none" w:sz="0" w:space="0" w:color="auto"/>
            <w:left w:val="none" w:sz="0" w:space="0" w:color="auto"/>
            <w:bottom w:val="none" w:sz="0" w:space="0" w:color="auto"/>
            <w:right w:val="none" w:sz="0" w:space="0" w:color="auto"/>
          </w:divBdr>
        </w:div>
        <w:div w:id="1684626265">
          <w:marLeft w:val="0"/>
          <w:marRight w:val="0"/>
          <w:marTop w:val="0"/>
          <w:marBottom w:val="0"/>
          <w:divBdr>
            <w:top w:val="none" w:sz="0" w:space="0" w:color="auto"/>
            <w:left w:val="none" w:sz="0" w:space="0" w:color="auto"/>
            <w:bottom w:val="none" w:sz="0" w:space="0" w:color="auto"/>
            <w:right w:val="none" w:sz="0" w:space="0" w:color="auto"/>
          </w:divBdr>
        </w:div>
        <w:div w:id="1925799543">
          <w:marLeft w:val="0"/>
          <w:marRight w:val="0"/>
          <w:marTop w:val="0"/>
          <w:marBottom w:val="0"/>
          <w:divBdr>
            <w:top w:val="none" w:sz="0" w:space="0" w:color="auto"/>
            <w:left w:val="none" w:sz="0" w:space="0" w:color="auto"/>
            <w:bottom w:val="none" w:sz="0" w:space="0" w:color="auto"/>
            <w:right w:val="none" w:sz="0" w:space="0" w:color="auto"/>
          </w:divBdr>
        </w:div>
      </w:divsChild>
    </w:div>
    <w:div w:id="794983624">
      <w:bodyDiv w:val="1"/>
      <w:marLeft w:val="0"/>
      <w:marRight w:val="0"/>
      <w:marTop w:val="0"/>
      <w:marBottom w:val="0"/>
      <w:divBdr>
        <w:top w:val="none" w:sz="0" w:space="0" w:color="auto"/>
        <w:left w:val="none" w:sz="0" w:space="0" w:color="auto"/>
        <w:bottom w:val="none" w:sz="0" w:space="0" w:color="auto"/>
        <w:right w:val="none" w:sz="0" w:space="0" w:color="auto"/>
      </w:divBdr>
    </w:div>
    <w:div w:id="1043365847">
      <w:bodyDiv w:val="1"/>
      <w:marLeft w:val="0"/>
      <w:marRight w:val="0"/>
      <w:marTop w:val="0"/>
      <w:marBottom w:val="0"/>
      <w:divBdr>
        <w:top w:val="none" w:sz="0" w:space="0" w:color="auto"/>
        <w:left w:val="none" w:sz="0" w:space="0" w:color="auto"/>
        <w:bottom w:val="none" w:sz="0" w:space="0" w:color="auto"/>
        <w:right w:val="none" w:sz="0" w:space="0" w:color="auto"/>
      </w:divBdr>
    </w:div>
    <w:div w:id="1179194756">
      <w:bodyDiv w:val="1"/>
      <w:marLeft w:val="0"/>
      <w:marRight w:val="0"/>
      <w:marTop w:val="0"/>
      <w:marBottom w:val="0"/>
      <w:divBdr>
        <w:top w:val="none" w:sz="0" w:space="0" w:color="auto"/>
        <w:left w:val="none" w:sz="0" w:space="0" w:color="auto"/>
        <w:bottom w:val="none" w:sz="0" w:space="0" w:color="auto"/>
        <w:right w:val="none" w:sz="0" w:space="0" w:color="auto"/>
      </w:divBdr>
    </w:div>
    <w:div w:id="1322077167">
      <w:bodyDiv w:val="1"/>
      <w:marLeft w:val="0"/>
      <w:marRight w:val="0"/>
      <w:marTop w:val="0"/>
      <w:marBottom w:val="0"/>
      <w:divBdr>
        <w:top w:val="none" w:sz="0" w:space="0" w:color="auto"/>
        <w:left w:val="none" w:sz="0" w:space="0" w:color="auto"/>
        <w:bottom w:val="none" w:sz="0" w:space="0" w:color="auto"/>
        <w:right w:val="none" w:sz="0" w:space="0" w:color="auto"/>
      </w:divBdr>
    </w:div>
    <w:div w:id="1325545112">
      <w:bodyDiv w:val="1"/>
      <w:marLeft w:val="0"/>
      <w:marRight w:val="0"/>
      <w:marTop w:val="0"/>
      <w:marBottom w:val="0"/>
      <w:divBdr>
        <w:top w:val="none" w:sz="0" w:space="0" w:color="auto"/>
        <w:left w:val="none" w:sz="0" w:space="0" w:color="auto"/>
        <w:bottom w:val="none" w:sz="0" w:space="0" w:color="auto"/>
        <w:right w:val="none" w:sz="0" w:space="0" w:color="auto"/>
      </w:divBdr>
    </w:div>
    <w:div w:id="1480876226">
      <w:bodyDiv w:val="1"/>
      <w:marLeft w:val="0"/>
      <w:marRight w:val="0"/>
      <w:marTop w:val="0"/>
      <w:marBottom w:val="0"/>
      <w:divBdr>
        <w:top w:val="none" w:sz="0" w:space="0" w:color="auto"/>
        <w:left w:val="none" w:sz="0" w:space="0" w:color="auto"/>
        <w:bottom w:val="none" w:sz="0" w:space="0" w:color="auto"/>
        <w:right w:val="none" w:sz="0" w:space="0" w:color="auto"/>
      </w:divBdr>
    </w:div>
    <w:div w:id="1720745795">
      <w:bodyDiv w:val="1"/>
      <w:marLeft w:val="0"/>
      <w:marRight w:val="0"/>
      <w:marTop w:val="0"/>
      <w:marBottom w:val="0"/>
      <w:divBdr>
        <w:top w:val="none" w:sz="0" w:space="0" w:color="auto"/>
        <w:left w:val="none" w:sz="0" w:space="0" w:color="auto"/>
        <w:bottom w:val="none" w:sz="0" w:space="0" w:color="auto"/>
        <w:right w:val="none" w:sz="0" w:space="0" w:color="auto"/>
      </w:divBdr>
    </w:div>
    <w:div w:id="1758360348">
      <w:bodyDiv w:val="1"/>
      <w:marLeft w:val="0"/>
      <w:marRight w:val="0"/>
      <w:marTop w:val="0"/>
      <w:marBottom w:val="0"/>
      <w:divBdr>
        <w:top w:val="none" w:sz="0" w:space="0" w:color="auto"/>
        <w:left w:val="none" w:sz="0" w:space="0" w:color="auto"/>
        <w:bottom w:val="none" w:sz="0" w:space="0" w:color="auto"/>
        <w:right w:val="none" w:sz="0" w:space="0" w:color="auto"/>
      </w:divBdr>
    </w:div>
    <w:div w:id="1903372286">
      <w:bodyDiv w:val="1"/>
      <w:marLeft w:val="0"/>
      <w:marRight w:val="0"/>
      <w:marTop w:val="0"/>
      <w:marBottom w:val="0"/>
      <w:divBdr>
        <w:top w:val="none" w:sz="0" w:space="0" w:color="auto"/>
        <w:left w:val="none" w:sz="0" w:space="0" w:color="auto"/>
        <w:bottom w:val="none" w:sz="0" w:space="0" w:color="auto"/>
        <w:right w:val="none" w:sz="0" w:space="0" w:color="auto"/>
      </w:divBdr>
    </w:div>
    <w:div w:id="19208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E0629485EFDEC4C96B453AC0D76AD10" ma:contentTypeVersion="15" ma:contentTypeDescription="Crée un document." ma:contentTypeScope="" ma:versionID="afeda2055a5ec1e1fa818fad2ff8ac1f">
  <xsd:schema xmlns:xsd="http://www.w3.org/2001/XMLSchema" xmlns:xs="http://www.w3.org/2001/XMLSchema" xmlns:p="http://schemas.microsoft.com/office/2006/metadata/properties" xmlns:ns1="http://schemas.microsoft.com/sharepoint/v3" xmlns:ns2="70760a94-0869-4979-97e7-4d74638abea7" xmlns:ns3="3b86122e-5811-4d4b-9be6-4b1118a4dcc7" targetNamespace="http://schemas.microsoft.com/office/2006/metadata/properties" ma:root="true" ma:fieldsID="cdbb2d83f26d1c528c81402737c05bc2" ns1:_="" ns2:_="" ns3:_="">
    <xsd:import namespace="http://schemas.microsoft.com/sharepoint/v3"/>
    <xsd:import namespace="70760a94-0869-4979-97e7-4d74638abea7"/>
    <xsd:import namespace="3b86122e-5811-4d4b-9be6-4b1118a4dc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60a94-0869-4979-97e7-4d74638ab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6122e-5811-4d4b-9be6-4b1118a4dcc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70D3E4-B3AB-4950-A2E0-26B51B453FD0}">
  <ds:schemaRefs>
    <ds:schemaRef ds:uri="http://schemas.openxmlformats.org/officeDocument/2006/bibliography"/>
  </ds:schemaRefs>
</ds:datastoreItem>
</file>

<file path=customXml/itemProps2.xml><?xml version="1.0" encoding="utf-8"?>
<ds:datastoreItem xmlns:ds="http://schemas.openxmlformats.org/officeDocument/2006/customXml" ds:itemID="{C0E67CE0-C2A0-4C6C-901F-F7196BC5214D}"/>
</file>

<file path=customXml/itemProps3.xml><?xml version="1.0" encoding="utf-8"?>
<ds:datastoreItem xmlns:ds="http://schemas.openxmlformats.org/officeDocument/2006/customXml" ds:itemID="{7CAEFD75-DDCA-4E85-83B2-393BF8389831}"/>
</file>

<file path=customXml/itemProps4.xml><?xml version="1.0" encoding="utf-8"?>
<ds:datastoreItem xmlns:ds="http://schemas.openxmlformats.org/officeDocument/2006/customXml" ds:itemID="{9A575E89-C3FF-4691-A4C7-0C22D49F5AA8}"/>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Virginie MERANDET</cp:lastModifiedBy>
  <cp:revision>5</cp:revision>
  <cp:lastPrinted>2012-07-02T13:00:00Z</cp:lastPrinted>
  <dcterms:created xsi:type="dcterms:W3CDTF">2021-05-26T11:32:00Z</dcterms:created>
  <dcterms:modified xsi:type="dcterms:W3CDTF">2021-06-21T09:53:00Z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0x0101007E0629485EFDEC4C96B453AC0D76AD10</vt:lpwstr>
  </property>
</Properties>
</file>